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b/>
          <w:sz w:val="52"/>
          <w:szCs w:val="52"/>
        </w:rPr>
      </w:pPr>
    </w:p>
    <w:p>
      <w:pPr>
        <w:spacing w:line="560" w:lineRule="exact"/>
        <w:jc w:val="center"/>
        <w:rPr>
          <w:rFonts w:ascii="宋体" w:hAnsi="宋体"/>
          <w:b/>
          <w:sz w:val="52"/>
          <w:szCs w:val="52"/>
        </w:rPr>
      </w:pPr>
    </w:p>
    <w:p>
      <w:pPr>
        <w:spacing w:line="560" w:lineRule="exact"/>
        <w:jc w:val="center"/>
        <w:rPr>
          <w:rFonts w:ascii="宋体" w:hAnsi="宋体"/>
          <w:b/>
          <w:sz w:val="52"/>
          <w:szCs w:val="52"/>
        </w:rPr>
      </w:pPr>
    </w:p>
    <w:p>
      <w:pPr>
        <w:spacing w:line="360" w:lineRule="auto"/>
        <w:jc w:val="center"/>
        <w:rPr>
          <w:rFonts w:hint="eastAsia" w:ascii="宋体" w:hAnsi="宋体"/>
          <w:b/>
          <w:sz w:val="52"/>
          <w:szCs w:val="52"/>
          <w:lang w:eastAsia="zh-CN"/>
        </w:rPr>
      </w:pPr>
      <w:r>
        <w:rPr>
          <w:rFonts w:hint="eastAsia" w:ascii="宋体" w:hAnsi="宋体"/>
          <w:b/>
          <w:sz w:val="52"/>
          <w:szCs w:val="52"/>
        </w:rPr>
        <w:t>温江产学研基地</w:t>
      </w:r>
      <w:bookmarkStart w:id="0" w:name="_Hlk112251348"/>
      <w:r>
        <w:rPr>
          <w:rFonts w:hint="eastAsia" w:ascii="宋体" w:hAnsi="宋体"/>
          <w:b/>
          <w:sz w:val="52"/>
          <w:szCs w:val="52"/>
          <w:lang w:eastAsia="zh-CN"/>
        </w:rPr>
        <w:t>（页岩气创新中心）</w:t>
      </w:r>
    </w:p>
    <w:p>
      <w:pPr>
        <w:spacing w:line="360" w:lineRule="auto"/>
        <w:jc w:val="center"/>
        <w:rPr>
          <w:rFonts w:ascii="宋体" w:hAnsi="宋体"/>
          <w:b/>
          <w:sz w:val="52"/>
          <w:szCs w:val="52"/>
        </w:rPr>
      </w:pPr>
      <w:r>
        <w:rPr>
          <w:rFonts w:ascii="宋体" w:hAnsi="宋体"/>
          <w:b/>
          <w:sz w:val="52"/>
          <w:szCs w:val="52"/>
        </w:rPr>
        <w:t>UPS</w:t>
      </w:r>
      <w:r>
        <w:rPr>
          <w:rFonts w:hint="eastAsia" w:ascii="宋体" w:hAnsi="宋体"/>
          <w:b/>
          <w:sz w:val="52"/>
          <w:szCs w:val="52"/>
        </w:rPr>
        <w:t>不间断电源系统</w:t>
      </w:r>
      <w:bookmarkEnd w:id="0"/>
      <w:r>
        <w:rPr>
          <w:rFonts w:hint="eastAsia" w:ascii="宋体" w:hAnsi="宋体"/>
          <w:b/>
          <w:sz w:val="52"/>
          <w:szCs w:val="52"/>
        </w:rPr>
        <w:t>采购项目</w:t>
      </w:r>
    </w:p>
    <w:p>
      <w:pPr>
        <w:spacing w:line="500" w:lineRule="exact"/>
        <w:jc w:val="center"/>
        <w:rPr>
          <w:rFonts w:ascii="宋体" w:hAnsi="宋体"/>
          <w:b/>
          <w:sz w:val="52"/>
          <w:szCs w:val="52"/>
        </w:rPr>
      </w:pPr>
    </w:p>
    <w:p>
      <w:pPr>
        <w:spacing w:line="500" w:lineRule="exact"/>
        <w:jc w:val="center"/>
        <w:rPr>
          <w:rFonts w:ascii="宋体" w:hAnsi="宋体"/>
          <w:b/>
          <w:sz w:val="52"/>
          <w:szCs w:val="52"/>
        </w:rPr>
      </w:pPr>
    </w:p>
    <w:p>
      <w:pPr>
        <w:spacing w:line="500" w:lineRule="exact"/>
        <w:jc w:val="center"/>
        <w:rPr>
          <w:rFonts w:ascii="宋体" w:hAnsi="宋体"/>
          <w:b/>
          <w:sz w:val="52"/>
          <w:szCs w:val="52"/>
        </w:rPr>
      </w:pPr>
    </w:p>
    <w:p>
      <w:pPr>
        <w:spacing w:line="500" w:lineRule="exact"/>
        <w:jc w:val="center"/>
        <w:rPr>
          <w:rStyle w:val="50"/>
          <w:rFonts w:ascii="宋体" w:hAnsi="宋体"/>
        </w:rPr>
      </w:pPr>
      <w:r>
        <w:rPr>
          <w:rStyle w:val="50"/>
          <w:rFonts w:hint="eastAsia" w:ascii="宋体" w:hAnsi="宋体"/>
        </w:rPr>
        <w:t xml:space="preserve"> </w:t>
      </w:r>
    </w:p>
    <w:p>
      <w:pPr>
        <w:spacing w:line="500" w:lineRule="exact"/>
        <w:rPr>
          <w:rFonts w:ascii="宋体" w:hAnsi="宋体"/>
          <w:b/>
          <w:sz w:val="52"/>
          <w:szCs w:val="52"/>
        </w:rPr>
      </w:pPr>
    </w:p>
    <w:p>
      <w:pPr>
        <w:tabs>
          <w:tab w:val="center" w:pos="4204"/>
        </w:tabs>
        <w:spacing w:line="720" w:lineRule="auto"/>
        <w:jc w:val="center"/>
        <w:rPr>
          <w:rFonts w:ascii="宋体" w:hAnsi="宋体"/>
          <w:b/>
          <w:sz w:val="84"/>
          <w:szCs w:val="84"/>
        </w:rPr>
      </w:pPr>
      <w:r>
        <w:rPr>
          <w:rFonts w:hint="eastAsia" w:ascii="宋体" w:hAnsi="宋体"/>
          <w:b/>
          <w:sz w:val="84"/>
          <w:szCs w:val="84"/>
        </w:rPr>
        <w:t>竞争性磋商文件</w:t>
      </w:r>
    </w:p>
    <w:p>
      <w:pPr>
        <w:spacing w:line="500" w:lineRule="exact"/>
        <w:jc w:val="center"/>
        <w:rPr>
          <w:rFonts w:ascii="宋体" w:hAnsi="宋体"/>
          <w:b/>
          <w:sz w:val="32"/>
          <w:szCs w:val="32"/>
        </w:rPr>
      </w:pPr>
    </w:p>
    <w:p>
      <w:pPr>
        <w:spacing w:line="500" w:lineRule="exact"/>
        <w:jc w:val="center"/>
        <w:rPr>
          <w:rFonts w:ascii="宋体" w:hAnsi="宋体"/>
          <w:b/>
          <w:sz w:val="32"/>
          <w:szCs w:val="32"/>
        </w:rPr>
      </w:pPr>
    </w:p>
    <w:p>
      <w:pPr>
        <w:spacing w:line="500" w:lineRule="exact"/>
        <w:jc w:val="center"/>
        <w:rPr>
          <w:rFonts w:ascii="宋体" w:hAnsi="宋体"/>
          <w:b/>
          <w:sz w:val="32"/>
          <w:szCs w:val="32"/>
        </w:rPr>
      </w:pPr>
    </w:p>
    <w:p>
      <w:pPr>
        <w:adjustRightInd w:val="0"/>
        <w:snapToGrid w:val="0"/>
        <w:spacing w:line="360" w:lineRule="auto"/>
        <w:ind w:left="1577" w:hanging="1577" w:hangingChars="491"/>
        <w:rPr>
          <w:rFonts w:ascii="宋体" w:hAnsi="宋体"/>
          <w:b/>
          <w:spacing w:val="-20"/>
          <w:sz w:val="32"/>
          <w:szCs w:val="32"/>
          <w:u w:val="single"/>
        </w:rPr>
      </w:pPr>
      <w:r>
        <w:rPr>
          <w:rFonts w:hint="eastAsia" w:ascii="宋体" w:hAnsi="宋体"/>
          <w:b/>
          <w:sz w:val="32"/>
          <w:szCs w:val="32"/>
        </w:rPr>
        <w:t>项目</w:t>
      </w:r>
      <w:r>
        <w:rPr>
          <w:rFonts w:ascii="宋体" w:hAnsi="宋体"/>
          <w:b/>
          <w:sz w:val="32"/>
          <w:szCs w:val="32"/>
        </w:rPr>
        <w:t>名称</w:t>
      </w:r>
      <w:r>
        <w:rPr>
          <w:rFonts w:hint="eastAsia" w:ascii="宋体" w:hAnsi="宋体"/>
          <w:b/>
          <w:sz w:val="32"/>
          <w:szCs w:val="32"/>
        </w:rPr>
        <w:t>：</w:t>
      </w:r>
      <w:r>
        <w:rPr>
          <w:rFonts w:hint="eastAsia" w:ascii="宋体" w:hAnsi="宋体"/>
          <w:b/>
          <w:spacing w:val="-20"/>
          <w:sz w:val="32"/>
          <w:szCs w:val="32"/>
          <w:u w:val="single"/>
        </w:rPr>
        <w:t>温江产学研基地</w:t>
      </w:r>
      <w:r>
        <w:rPr>
          <w:rFonts w:hint="eastAsia" w:ascii="宋体" w:hAnsi="宋体"/>
          <w:b/>
          <w:spacing w:val="-20"/>
          <w:sz w:val="32"/>
          <w:szCs w:val="32"/>
          <w:u w:val="single"/>
          <w:lang w:eastAsia="zh-CN"/>
        </w:rPr>
        <w:t>（页岩气创新中心）</w:t>
      </w:r>
      <w:r>
        <w:rPr>
          <w:rFonts w:ascii="宋体" w:hAnsi="宋体"/>
          <w:b/>
          <w:spacing w:val="-20"/>
          <w:sz w:val="32"/>
          <w:szCs w:val="32"/>
          <w:u w:val="single"/>
        </w:rPr>
        <w:t>UPS</w:t>
      </w:r>
      <w:r>
        <w:rPr>
          <w:rFonts w:hint="eastAsia" w:ascii="宋体" w:hAnsi="宋体"/>
          <w:b/>
          <w:spacing w:val="-20"/>
          <w:sz w:val="32"/>
          <w:szCs w:val="32"/>
          <w:u w:val="single"/>
        </w:rPr>
        <w:t xml:space="preserve">不间断电源系统采购         </w:t>
      </w:r>
    </w:p>
    <w:p>
      <w:pPr>
        <w:adjustRightInd w:val="0"/>
        <w:snapToGrid w:val="0"/>
        <w:spacing w:line="360" w:lineRule="auto"/>
        <w:rPr>
          <w:rFonts w:ascii="宋体" w:hAnsi="宋体"/>
          <w:sz w:val="22"/>
          <w:szCs w:val="22"/>
        </w:rPr>
      </w:pPr>
      <w:r>
        <w:rPr>
          <w:rFonts w:hint="eastAsia" w:ascii="宋体" w:hAnsi="宋体"/>
          <w:b/>
          <w:sz w:val="32"/>
          <w:szCs w:val="32"/>
        </w:rPr>
        <w:t>采 购 人</w:t>
      </w:r>
      <w:r>
        <w:rPr>
          <w:rFonts w:ascii="宋体" w:hAnsi="宋体"/>
          <w:b/>
          <w:sz w:val="32"/>
          <w:szCs w:val="32"/>
        </w:rPr>
        <w:t>：</w:t>
      </w:r>
      <w:r>
        <w:rPr>
          <w:rFonts w:hint="eastAsia" w:ascii="宋体" w:hAnsi="宋体"/>
          <w:b/>
          <w:spacing w:val="-20"/>
          <w:sz w:val="32"/>
          <w:szCs w:val="32"/>
          <w:u w:val="single"/>
        </w:rPr>
        <w:t xml:space="preserve">四川省科源工程技术测试中心    </w:t>
      </w:r>
      <w:r>
        <w:rPr>
          <w:rFonts w:hint="eastAsia" w:ascii="宋体" w:hAnsi="宋体"/>
          <w:b/>
          <w:sz w:val="32"/>
          <w:szCs w:val="32"/>
          <w:u w:val="single"/>
        </w:rPr>
        <w:t xml:space="preserve">             </w:t>
      </w:r>
    </w:p>
    <w:p>
      <w:pPr>
        <w:spacing w:line="500" w:lineRule="exact"/>
        <w:rPr>
          <w:rFonts w:ascii="宋体" w:hAnsi="宋体"/>
          <w:b/>
          <w:sz w:val="32"/>
          <w:szCs w:val="32"/>
          <w:u w:val="single"/>
        </w:rPr>
      </w:pPr>
    </w:p>
    <w:p>
      <w:pPr>
        <w:spacing w:line="500" w:lineRule="exact"/>
        <w:ind w:firstLine="3052" w:firstLineChars="950"/>
        <w:rPr>
          <w:rFonts w:ascii="宋体" w:hAnsi="宋体"/>
          <w:b/>
          <w:bCs/>
          <w:sz w:val="32"/>
          <w:szCs w:val="32"/>
          <w:lang w:val="zh-CN"/>
        </w:rPr>
      </w:pPr>
      <w:r>
        <w:rPr>
          <w:rFonts w:ascii="宋体" w:hAnsi="宋体"/>
          <w:b/>
          <w:sz w:val="32"/>
          <w:szCs w:val="32"/>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183515</wp:posOffset>
                </wp:positionV>
                <wp:extent cx="899795" cy="358140"/>
                <wp:effectExtent l="7620" t="9525" r="6985" b="13335"/>
                <wp:wrapNone/>
                <wp:docPr id="2"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99795" cy="358140"/>
                        </a:xfrm>
                        <a:prstGeom prst="rect">
                          <a:avLst/>
                        </a:prstGeom>
                        <a:solidFill>
                          <a:srgbClr val="FFFFFF"/>
                        </a:solidFill>
                        <a:ln w="9525">
                          <a:solidFill>
                            <a:srgbClr val="FFFFFF"/>
                          </a:solidFill>
                          <a:miter lim="800000"/>
                        </a:ln>
                      </wps:spPr>
                      <wps:txbx>
                        <w:txbxContent>
                          <w:p>
                            <w:pPr>
                              <w:rPr>
                                <w:b/>
                                <w:color w:val="FFFFFF"/>
                                <w:sz w:val="26"/>
                                <w:szCs w:val="26"/>
                              </w:rPr>
                            </w:pPr>
                          </w:p>
                        </w:txbxContent>
                      </wps:txbx>
                      <wps:bodyPr rot="0" vert="horz" wrap="square" lIns="91440" tIns="45720" rIns="91440" bIns="45720" anchor="t" anchorCtr="0" upright="1">
                        <a:noAutofit/>
                      </wps:bodyPr>
                    </wps:wsp>
                  </a:graphicData>
                </a:graphic>
              </wp:anchor>
            </w:drawing>
          </mc:Choice>
          <mc:Fallback>
            <w:pict>
              <v:shape id="文本框 5" o:spid="_x0000_s1026" o:spt="202" type="#_x0000_t202" style="position:absolute;left:0pt;margin-left:378pt;margin-top:14.45pt;height:28.2pt;width:70.85pt;z-index:251659264;mso-width-relative:page;mso-height-relative:page;" fillcolor="#FFFFFF" filled="t" stroked="t" coordsize="21600,21600" o:gfxdata="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&#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qNXk3ZAAAACQEAAA8AAAAAAAAAAQAgAAAAIgAAAGRy&#10;cy9kb3ducmV2LnhtbFBLAQIUABQAAAAIAIdO4kDnJpmRPQIAAIYEAAAOAAAAAAAAAAEAIAAAACgB&#10;AABkcnMvZTJvRG9jLnhtbFBLBQYAAAAABgAGAFkBAADXBQAAAAA=&#10;">
                <v:fill on="t" focussize="0,0"/>
                <v:stroke color="#FFFFFF" miterlimit="8" joinstyle="miter"/>
                <v:imagedata o:title=""/>
                <o:lock v:ext="edit" aspectratio="f"/>
                <v:textbox>
                  <w:txbxContent>
                    <w:p>
                      <w:pPr>
                        <w:rPr>
                          <w:b/>
                          <w:color w:val="FFFFFF"/>
                          <w:sz w:val="26"/>
                          <w:szCs w:val="26"/>
                        </w:rPr>
                      </w:pPr>
                    </w:p>
                  </w:txbxContent>
                </v:textbox>
              </v:shape>
            </w:pict>
          </mc:Fallback>
        </mc:AlternateContent>
      </w:r>
      <w:r>
        <w:rPr>
          <w:rFonts w:ascii="宋体" w:hAnsi="宋体"/>
          <w:b/>
          <w:sz w:val="32"/>
          <w:szCs w:val="32"/>
        </w:rPr>
        <w:t>20</w:t>
      </w:r>
      <w:r>
        <w:rPr>
          <w:rFonts w:hint="eastAsia" w:ascii="宋体" w:hAnsi="宋体"/>
          <w:b/>
          <w:sz w:val="32"/>
          <w:szCs w:val="32"/>
        </w:rPr>
        <w:t>22</w:t>
      </w:r>
      <w:r>
        <w:rPr>
          <w:rFonts w:ascii="宋体" w:hAnsi="宋体"/>
          <w:b/>
          <w:bCs/>
          <w:sz w:val="32"/>
          <w:szCs w:val="32"/>
          <w:lang w:val="zh-CN"/>
        </w:rPr>
        <w:t>年</w:t>
      </w:r>
      <w:r>
        <w:rPr>
          <w:rFonts w:ascii="宋体" w:hAnsi="宋体"/>
          <w:b/>
          <w:bCs/>
          <w:sz w:val="32"/>
          <w:szCs w:val="32"/>
        </w:rPr>
        <w:t>8</w:t>
      </w:r>
      <w:r>
        <w:rPr>
          <w:rFonts w:ascii="宋体" w:hAnsi="宋体"/>
          <w:b/>
          <w:bCs/>
          <w:sz w:val="32"/>
          <w:szCs w:val="32"/>
          <w:lang w:val="zh-CN"/>
        </w:rPr>
        <w:t>月</w:t>
      </w:r>
    </w:p>
    <w:p>
      <w:pPr>
        <w:spacing w:line="500" w:lineRule="exact"/>
        <w:ind w:firstLine="3052" w:firstLineChars="950"/>
        <w:rPr>
          <w:rFonts w:ascii="宋体" w:hAnsi="宋体"/>
          <w:b/>
          <w:bCs/>
          <w:sz w:val="32"/>
          <w:szCs w:val="32"/>
          <w:lang w:val="zh-CN"/>
        </w:rPr>
      </w:pPr>
      <w:r>
        <w:rPr>
          <w:rFonts w:hint="eastAsia" w:ascii="宋体" w:hAnsi="宋体"/>
          <w:b/>
          <w:bCs/>
          <w:sz w:val="32"/>
          <w:szCs w:val="32"/>
          <w:lang w:val="zh-CN"/>
        </w:rPr>
        <w:br w:type="page"/>
      </w:r>
    </w:p>
    <w:p>
      <w:pPr>
        <w:pStyle w:val="587"/>
        <w:spacing w:line="500" w:lineRule="exact"/>
        <w:jc w:val="center"/>
        <w:rPr>
          <w:rFonts w:ascii="宋体" w:hAnsi="宋体"/>
          <w:b/>
          <w:bCs/>
          <w:color w:val="auto"/>
        </w:rPr>
      </w:pPr>
      <w:bookmarkStart w:id="1" w:name="_Hlt101233737"/>
      <w:bookmarkEnd w:id="1"/>
      <w:bookmarkStart w:id="2" w:name="_Hlt101843627"/>
      <w:bookmarkEnd w:id="2"/>
      <w:r>
        <w:rPr>
          <w:rFonts w:ascii="宋体" w:hAnsi="宋体"/>
          <w:b/>
          <w:bCs/>
          <w:color w:val="auto"/>
          <w:lang w:val="zh-CN"/>
        </w:rPr>
        <w:t>目</w:t>
      </w:r>
      <w:r>
        <w:rPr>
          <w:rFonts w:hint="eastAsia" w:ascii="宋体" w:hAnsi="宋体"/>
          <w:b/>
          <w:bCs/>
          <w:color w:val="auto"/>
          <w:lang w:val="zh-CN"/>
        </w:rPr>
        <w:t xml:space="preserve">      </w:t>
      </w:r>
      <w:r>
        <w:rPr>
          <w:rFonts w:ascii="宋体" w:hAnsi="宋体"/>
          <w:b/>
          <w:bCs/>
          <w:color w:val="auto"/>
          <w:lang w:val="zh-CN"/>
        </w:rPr>
        <w:t>录</w:t>
      </w:r>
    </w:p>
    <w:p>
      <w:pPr>
        <w:pStyle w:val="33"/>
        <w:tabs>
          <w:tab w:val="right" w:leader="dot" w:pos="8835"/>
        </w:tabs>
        <w:rPr>
          <w:rFonts w:ascii="等线" w:hAnsi="等线" w:eastAsia="等线"/>
          <w:kern w:val="2"/>
          <w:sz w:val="21"/>
        </w:rPr>
      </w:pPr>
      <w:r>
        <w:rPr>
          <w:rFonts w:ascii="宋体" w:hAnsi="宋体"/>
          <w:b/>
          <w:bCs/>
        </w:rPr>
        <w:fldChar w:fldCharType="begin"/>
      </w:r>
      <w:r>
        <w:rPr>
          <w:rFonts w:ascii="宋体" w:hAnsi="宋体"/>
          <w:b/>
          <w:bCs/>
        </w:rPr>
        <w:instrText xml:space="preserve"> TOC \o "1-3" \h \z \u </w:instrText>
      </w:r>
      <w:r>
        <w:rPr>
          <w:rFonts w:ascii="宋体" w:hAnsi="宋体"/>
          <w:b/>
          <w:bCs/>
        </w:rPr>
        <w:fldChar w:fldCharType="separate"/>
      </w:r>
      <w:r>
        <w:fldChar w:fldCharType="begin"/>
      </w:r>
      <w:r>
        <w:instrText xml:space="preserve"> HYPERLINK \l "_Toc112257042" </w:instrText>
      </w:r>
      <w:r>
        <w:fldChar w:fldCharType="separate"/>
      </w:r>
      <w:r>
        <w:rPr>
          <w:rStyle w:val="54"/>
          <w:rFonts w:ascii="宋体" w:hAnsi="宋体"/>
        </w:rPr>
        <w:t>第一章  磋商邀请</w:t>
      </w:r>
      <w:r>
        <w:tab/>
      </w:r>
      <w:r>
        <w:fldChar w:fldCharType="begin"/>
      </w:r>
      <w:r>
        <w:instrText xml:space="preserve"> PAGEREF _Toc112257042 \h </w:instrText>
      </w:r>
      <w:r>
        <w:fldChar w:fldCharType="separate"/>
      </w:r>
      <w:r>
        <w:t>4</w:t>
      </w:r>
      <w:r>
        <w:fldChar w:fldCharType="end"/>
      </w:r>
      <w:r>
        <w:fldChar w:fldCharType="end"/>
      </w:r>
    </w:p>
    <w:p>
      <w:pPr>
        <w:pStyle w:val="33"/>
        <w:tabs>
          <w:tab w:val="right" w:leader="dot" w:pos="8835"/>
        </w:tabs>
        <w:rPr>
          <w:rFonts w:ascii="等线" w:hAnsi="等线" w:eastAsia="等线"/>
          <w:kern w:val="2"/>
          <w:sz w:val="21"/>
        </w:rPr>
      </w:pPr>
      <w:r>
        <w:fldChar w:fldCharType="begin"/>
      </w:r>
      <w:r>
        <w:instrText xml:space="preserve"> HYPERLINK \l "_Toc112257043" </w:instrText>
      </w:r>
      <w:r>
        <w:fldChar w:fldCharType="separate"/>
      </w:r>
      <w:r>
        <w:rPr>
          <w:rStyle w:val="54"/>
          <w:rFonts w:ascii="宋体" w:hAnsi="宋体"/>
        </w:rPr>
        <w:t>第二章  供应商须知</w:t>
      </w:r>
      <w:r>
        <w:tab/>
      </w:r>
      <w:r>
        <w:fldChar w:fldCharType="begin"/>
      </w:r>
      <w:r>
        <w:instrText xml:space="preserve"> PAGEREF _Toc112257043 \h </w:instrText>
      </w:r>
      <w:r>
        <w:fldChar w:fldCharType="separate"/>
      </w:r>
      <w:r>
        <w:t>6</w:t>
      </w:r>
      <w:r>
        <w:fldChar w:fldCharType="end"/>
      </w:r>
      <w:r>
        <w:fldChar w:fldCharType="end"/>
      </w:r>
    </w:p>
    <w:p>
      <w:pPr>
        <w:pStyle w:val="40"/>
        <w:tabs>
          <w:tab w:val="right" w:leader="dot" w:pos="8835"/>
        </w:tabs>
        <w:rPr>
          <w:rFonts w:ascii="等线" w:hAnsi="等线" w:eastAsia="等线"/>
          <w:kern w:val="2"/>
          <w:sz w:val="21"/>
        </w:rPr>
      </w:pPr>
      <w:r>
        <w:fldChar w:fldCharType="begin"/>
      </w:r>
      <w:r>
        <w:instrText xml:space="preserve"> HYPERLINK \l "_Toc112257044" </w:instrText>
      </w:r>
      <w:r>
        <w:fldChar w:fldCharType="separate"/>
      </w:r>
      <w:r>
        <w:rPr>
          <w:rStyle w:val="54"/>
          <w:rFonts w:ascii="宋体" w:hAnsi="宋体"/>
        </w:rPr>
        <w:t>一、供应商须知前附表</w:t>
      </w:r>
      <w:r>
        <w:tab/>
      </w:r>
      <w:r>
        <w:fldChar w:fldCharType="begin"/>
      </w:r>
      <w:r>
        <w:instrText xml:space="preserve"> PAGEREF _Toc112257044 \h </w:instrText>
      </w:r>
      <w:r>
        <w:fldChar w:fldCharType="separate"/>
      </w:r>
      <w:r>
        <w:t>6</w:t>
      </w:r>
      <w:r>
        <w:fldChar w:fldCharType="end"/>
      </w:r>
      <w:r>
        <w:fldChar w:fldCharType="end"/>
      </w:r>
    </w:p>
    <w:p>
      <w:pPr>
        <w:pStyle w:val="40"/>
        <w:tabs>
          <w:tab w:val="right" w:leader="dot" w:pos="8835"/>
        </w:tabs>
        <w:rPr>
          <w:rFonts w:ascii="等线" w:hAnsi="等线" w:eastAsia="等线"/>
          <w:kern w:val="2"/>
          <w:sz w:val="21"/>
        </w:rPr>
      </w:pPr>
      <w:r>
        <w:fldChar w:fldCharType="begin"/>
      </w:r>
      <w:r>
        <w:instrText xml:space="preserve"> HYPERLINK \l "_Toc112257045" </w:instrText>
      </w:r>
      <w:r>
        <w:fldChar w:fldCharType="separate"/>
      </w:r>
      <w:r>
        <w:rPr>
          <w:rStyle w:val="54"/>
          <w:rFonts w:ascii="宋体" w:hAnsi="宋体"/>
        </w:rPr>
        <w:t>二、总则</w:t>
      </w:r>
      <w:r>
        <w:tab/>
      </w:r>
      <w:r>
        <w:fldChar w:fldCharType="begin"/>
      </w:r>
      <w:r>
        <w:instrText xml:space="preserve"> PAGEREF _Toc112257045 \h </w:instrText>
      </w:r>
      <w:r>
        <w:fldChar w:fldCharType="separate"/>
      </w:r>
      <w:r>
        <w:t>7</w:t>
      </w:r>
      <w:r>
        <w:fldChar w:fldCharType="end"/>
      </w:r>
      <w:r>
        <w:fldChar w:fldCharType="end"/>
      </w:r>
    </w:p>
    <w:p>
      <w:pPr>
        <w:pStyle w:val="40"/>
        <w:tabs>
          <w:tab w:val="right" w:leader="dot" w:pos="8835"/>
        </w:tabs>
        <w:rPr>
          <w:rFonts w:ascii="等线" w:hAnsi="等线" w:eastAsia="等线"/>
          <w:kern w:val="2"/>
          <w:sz w:val="21"/>
        </w:rPr>
      </w:pPr>
      <w:r>
        <w:fldChar w:fldCharType="begin"/>
      </w:r>
      <w:r>
        <w:instrText xml:space="preserve"> HYPERLINK \l "_Toc112257046" </w:instrText>
      </w:r>
      <w:r>
        <w:fldChar w:fldCharType="separate"/>
      </w:r>
      <w:r>
        <w:rPr>
          <w:rStyle w:val="54"/>
          <w:rFonts w:ascii="宋体" w:hAnsi="宋体"/>
        </w:rPr>
        <w:t>三、磋商文件</w:t>
      </w:r>
      <w:r>
        <w:tab/>
      </w:r>
      <w:r>
        <w:fldChar w:fldCharType="begin"/>
      </w:r>
      <w:r>
        <w:instrText xml:space="preserve"> PAGEREF _Toc112257046 \h </w:instrText>
      </w:r>
      <w:r>
        <w:fldChar w:fldCharType="separate"/>
      </w:r>
      <w:r>
        <w:t>8</w:t>
      </w:r>
      <w:r>
        <w:fldChar w:fldCharType="end"/>
      </w:r>
      <w:r>
        <w:fldChar w:fldCharType="end"/>
      </w:r>
    </w:p>
    <w:p>
      <w:pPr>
        <w:pStyle w:val="40"/>
        <w:tabs>
          <w:tab w:val="right" w:leader="dot" w:pos="8835"/>
        </w:tabs>
        <w:rPr>
          <w:rFonts w:ascii="等线" w:hAnsi="等线" w:eastAsia="等线"/>
          <w:kern w:val="2"/>
          <w:sz w:val="21"/>
        </w:rPr>
      </w:pPr>
      <w:r>
        <w:fldChar w:fldCharType="begin"/>
      </w:r>
      <w:r>
        <w:instrText xml:space="preserve"> HYPERLINK \l "_Toc112257047" </w:instrText>
      </w:r>
      <w:r>
        <w:fldChar w:fldCharType="separate"/>
      </w:r>
      <w:r>
        <w:rPr>
          <w:rStyle w:val="54"/>
          <w:rFonts w:ascii="宋体" w:hAnsi="宋体"/>
        </w:rPr>
        <w:t>四、响应文件</w:t>
      </w:r>
      <w:r>
        <w:tab/>
      </w:r>
      <w:r>
        <w:fldChar w:fldCharType="begin"/>
      </w:r>
      <w:r>
        <w:instrText xml:space="preserve"> PAGEREF _Toc112257047 \h </w:instrText>
      </w:r>
      <w:r>
        <w:fldChar w:fldCharType="separate"/>
      </w:r>
      <w:r>
        <w:t>8</w:t>
      </w:r>
      <w:r>
        <w:fldChar w:fldCharType="end"/>
      </w:r>
      <w:r>
        <w:fldChar w:fldCharType="end"/>
      </w:r>
    </w:p>
    <w:p>
      <w:pPr>
        <w:pStyle w:val="40"/>
        <w:tabs>
          <w:tab w:val="right" w:leader="dot" w:pos="8835"/>
        </w:tabs>
        <w:rPr>
          <w:rFonts w:ascii="等线" w:hAnsi="等线" w:eastAsia="等线"/>
          <w:kern w:val="2"/>
          <w:sz w:val="21"/>
        </w:rPr>
      </w:pPr>
      <w:r>
        <w:fldChar w:fldCharType="begin"/>
      </w:r>
      <w:r>
        <w:instrText xml:space="preserve"> HYPERLINK \l "_Toc112257048" </w:instrText>
      </w:r>
      <w:r>
        <w:fldChar w:fldCharType="separate"/>
      </w:r>
      <w:r>
        <w:rPr>
          <w:rStyle w:val="54"/>
          <w:rFonts w:ascii="宋体" w:hAnsi="宋体"/>
        </w:rPr>
        <w:t>五、磋商评审程序</w:t>
      </w:r>
      <w:r>
        <w:tab/>
      </w:r>
      <w:r>
        <w:fldChar w:fldCharType="begin"/>
      </w:r>
      <w:r>
        <w:instrText xml:space="preserve"> PAGEREF _Toc112257048 \h </w:instrText>
      </w:r>
      <w:r>
        <w:fldChar w:fldCharType="separate"/>
      </w:r>
      <w:r>
        <w:t>10</w:t>
      </w:r>
      <w:r>
        <w:fldChar w:fldCharType="end"/>
      </w:r>
      <w:r>
        <w:fldChar w:fldCharType="end"/>
      </w:r>
    </w:p>
    <w:p>
      <w:pPr>
        <w:pStyle w:val="40"/>
        <w:tabs>
          <w:tab w:val="right" w:leader="dot" w:pos="8835"/>
        </w:tabs>
        <w:rPr>
          <w:rFonts w:ascii="等线" w:hAnsi="等线" w:eastAsia="等线"/>
          <w:kern w:val="2"/>
          <w:sz w:val="21"/>
        </w:rPr>
      </w:pPr>
      <w:r>
        <w:fldChar w:fldCharType="begin"/>
      </w:r>
      <w:r>
        <w:instrText xml:space="preserve"> HYPERLINK \l "_Toc112257049" </w:instrText>
      </w:r>
      <w:r>
        <w:fldChar w:fldCharType="separate"/>
      </w:r>
      <w:r>
        <w:rPr>
          <w:rStyle w:val="54"/>
          <w:rFonts w:ascii="宋体" w:hAnsi="宋体"/>
        </w:rPr>
        <w:t>六、签订及履行合同和验收</w:t>
      </w:r>
      <w:r>
        <w:tab/>
      </w:r>
      <w:r>
        <w:fldChar w:fldCharType="begin"/>
      </w:r>
      <w:r>
        <w:instrText xml:space="preserve"> PAGEREF _Toc112257049 \h </w:instrText>
      </w:r>
      <w:r>
        <w:fldChar w:fldCharType="separate"/>
      </w:r>
      <w:r>
        <w:t>11</w:t>
      </w:r>
      <w:r>
        <w:fldChar w:fldCharType="end"/>
      </w:r>
      <w:r>
        <w:fldChar w:fldCharType="end"/>
      </w:r>
    </w:p>
    <w:p>
      <w:pPr>
        <w:pStyle w:val="40"/>
        <w:tabs>
          <w:tab w:val="right" w:leader="dot" w:pos="8835"/>
        </w:tabs>
        <w:rPr>
          <w:rFonts w:ascii="等线" w:hAnsi="等线" w:eastAsia="等线"/>
          <w:kern w:val="2"/>
          <w:sz w:val="21"/>
        </w:rPr>
      </w:pPr>
      <w:r>
        <w:fldChar w:fldCharType="begin"/>
      </w:r>
      <w:r>
        <w:instrText xml:space="preserve"> HYPERLINK \l "_Toc112257050" </w:instrText>
      </w:r>
      <w:r>
        <w:fldChar w:fldCharType="separate"/>
      </w:r>
      <w:r>
        <w:rPr>
          <w:rStyle w:val="54"/>
          <w:rFonts w:ascii="宋体" w:hAnsi="宋体"/>
        </w:rPr>
        <w:t>七、磋商纪律要求</w:t>
      </w:r>
      <w:r>
        <w:tab/>
      </w:r>
      <w:r>
        <w:fldChar w:fldCharType="begin"/>
      </w:r>
      <w:r>
        <w:instrText xml:space="preserve"> PAGEREF _Toc112257050 \h </w:instrText>
      </w:r>
      <w:r>
        <w:fldChar w:fldCharType="separate"/>
      </w:r>
      <w:r>
        <w:t>12</w:t>
      </w:r>
      <w:r>
        <w:fldChar w:fldCharType="end"/>
      </w:r>
      <w:r>
        <w:fldChar w:fldCharType="end"/>
      </w:r>
    </w:p>
    <w:p>
      <w:pPr>
        <w:pStyle w:val="40"/>
        <w:tabs>
          <w:tab w:val="right" w:leader="dot" w:pos="8835"/>
        </w:tabs>
        <w:rPr>
          <w:rFonts w:ascii="等线" w:hAnsi="等线" w:eastAsia="等线"/>
          <w:kern w:val="2"/>
          <w:sz w:val="21"/>
        </w:rPr>
      </w:pPr>
      <w:r>
        <w:fldChar w:fldCharType="begin"/>
      </w:r>
      <w:r>
        <w:instrText xml:space="preserve"> HYPERLINK \l "_Toc112257051" </w:instrText>
      </w:r>
      <w:r>
        <w:fldChar w:fldCharType="separate"/>
      </w:r>
      <w:r>
        <w:rPr>
          <w:rStyle w:val="54"/>
          <w:rFonts w:ascii="宋体" w:hAnsi="宋体"/>
        </w:rPr>
        <w:t>八、询问、质疑和投诉</w:t>
      </w:r>
      <w:r>
        <w:tab/>
      </w:r>
      <w:r>
        <w:fldChar w:fldCharType="begin"/>
      </w:r>
      <w:r>
        <w:instrText xml:space="preserve"> PAGEREF _Toc112257051 \h </w:instrText>
      </w:r>
      <w:r>
        <w:fldChar w:fldCharType="separate"/>
      </w:r>
      <w:r>
        <w:t>13</w:t>
      </w:r>
      <w:r>
        <w:fldChar w:fldCharType="end"/>
      </w:r>
      <w:r>
        <w:fldChar w:fldCharType="end"/>
      </w:r>
    </w:p>
    <w:p>
      <w:pPr>
        <w:pStyle w:val="40"/>
        <w:tabs>
          <w:tab w:val="right" w:leader="dot" w:pos="8835"/>
        </w:tabs>
        <w:rPr>
          <w:rFonts w:ascii="等线" w:hAnsi="等线" w:eastAsia="等线"/>
          <w:kern w:val="2"/>
          <w:sz w:val="21"/>
        </w:rPr>
      </w:pPr>
      <w:r>
        <w:fldChar w:fldCharType="begin"/>
      </w:r>
      <w:r>
        <w:instrText xml:space="preserve"> HYPERLINK \l "_Toc112257052" </w:instrText>
      </w:r>
      <w:r>
        <w:fldChar w:fldCharType="separate"/>
      </w:r>
      <w:r>
        <w:rPr>
          <w:rStyle w:val="54"/>
          <w:rFonts w:ascii="宋体" w:hAnsi="宋体"/>
        </w:rPr>
        <w:t>九、其他</w:t>
      </w:r>
      <w:r>
        <w:tab/>
      </w:r>
      <w:r>
        <w:fldChar w:fldCharType="begin"/>
      </w:r>
      <w:r>
        <w:instrText xml:space="preserve"> PAGEREF _Toc112257052 \h </w:instrText>
      </w:r>
      <w:r>
        <w:fldChar w:fldCharType="separate"/>
      </w:r>
      <w:r>
        <w:t>13</w:t>
      </w:r>
      <w:r>
        <w:fldChar w:fldCharType="end"/>
      </w:r>
      <w:r>
        <w:fldChar w:fldCharType="end"/>
      </w:r>
    </w:p>
    <w:p>
      <w:pPr>
        <w:pStyle w:val="33"/>
        <w:tabs>
          <w:tab w:val="right" w:leader="dot" w:pos="8835"/>
        </w:tabs>
        <w:rPr>
          <w:rFonts w:ascii="等线" w:hAnsi="等线" w:eastAsia="等线"/>
          <w:kern w:val="2"/>
          <w:sz w:val="21"/>
        </w:rPr>
      </w:pPr>
      <w:r>
        <w:fldChar w:fldCharType="begin"/>
      </w:r>
      <w:r>
        <w:instrText xml:space="preserve"> HYPERLINK \l "_Toc112257053" </w:instrText>
      </w:r>
      <w:r>
        <w:fldChar w:fldCharType="separate"/>
      </w:r>
      <w:r>
        <w:rPr>
          <w:rStyle w:val="54"/>
          <w:rFonts w:ascii="宋体" w:hAnsi="宋体" w:cs="黑体"/>
        </w:rPr>
        <w:t>第三章  响应文件格式（资格、技术、报价部分）</w:t>
      </w:r>
      <w:r>
        <w:tab/>
      </w:r>
      <w:r>
        <w:fldChar w:fldCharType="begin"/>
      </w:r>
      <w:r>
        <w:instrText xml:space="preserve"> PAGEREF _Toc112257053 \h </w:instrText>
      </w:r>
      <w:r>
        <w:fldChar w:fldCharType="separate"/>
      </w:r>
      <w:r>
        <w:t>14</w:t>
      </w:r>
      <w:r>
        <w:fldChar w:fldCharType="end"/>
      </w:r>
      <w:r>
        <w:fldChar w:fldCharType="end"/>
      </w:r>
    </w:p>
    <w:p>
      <w:pPr>
        <w:pStyle w:val="40"/>
        <w:tabs>
          <w:tab w:val="right" w:leader="dot" w:pos="8835"/>
        </w:tabs>
        <w:rPr>
          <w:rFonts w:ascii="等线" w:hAnsi="等线" w:eastAsia="等线"/>
          <w:kern w:val="2"/>
          <w:sz w:val="21"/>
        </w:rPr>
      </w:pPr>
      <w:r>
        <w:fldChar w:fldCharType="begin"/>
      </w:r>
      <w:r>
        <w:instrText xml:space="preserve"> HYPERLINK \l "_Toc112257054" </w:instrText>
      </w:r>
      <w:r>
        <w:fldChar w:fldCharType="separate"/>
      </w:r>
      <w:r>
        <w:rPr>
          <w:rStyle w:val="54"/>
          <w:rFonts w:ascii="宋体" w:hAnsi="宋体"/>
        </w:rPr>
        <w:t>资格性部分</w:t>
      </w:r>
      <w:r>
        <w:tab/>
      </w:r>
      <w:r>
        <w:fldChar w:fldCharType="begin"/>
      </w:r>
      <w:r>
        <w:instrText xml:space="preserve"> PAGEREF _Toc112257054 \h </w:instrText>
      </w:r>
      <w:r>
        <w:fldChar w:fldCharType="separate"/>
      </w:r>
      <w:r>
        <w:t>15</w:t>
      </w:r>
      <w:r>
        <w:fldChar w:fldCharType="end"/>
      </w:r>
      <w:r>
        <w:fldChar w:fldCharType="end"/>
      </w:r>
    </w:p>
    <w:p>
      <w:pPr>
        <w:pStyle w:val="40"/>
        <w:tabs>
          <w:tab w:val="right" w:leader="dot" w:pos="8835"/>
        </w:tabs>
        <w:rPr>
          <w:rFonts w:ascii="等线" w:hAnsi="等线" w:eastAsia="等线"/>
          <w:kern w:val="2"/>
          <w:sz w:val="21"/>
        </w:rPr>
      </w:pPr>
      <w:r>
        <w:fldChar w:fldCharType="begin"/>
      </w:r>
      <w:r>
        <w:instrText xml:space="preserve"> HYPERLINK \l "_Toc112257055" </w:instrText>
      </w:r>
      <w:r>
        <w:fldChar w:fldCharType="separate"/>
      </w:r>
      <w:r>
        <w:rPr>
          <w:rStyle w:val="54"/>
          <w:rFonts w:ascii="宋体" w:hAnsi="宋体" w:cs="宋体"/>
        </w:rPr>
        <w:t>一、承诺函（格式须符合）</w:t>
      </w:r>
      <w:r>
        <w:tab/>
      </w:r>
      <w:r>
        <w:fldChar w:fldCharType="begin"/>
      </w:r>
      <w:r>
        <w:instrText xml:space="preserve"> PAGEREF _Toc112257055 \h </w:instrText>
      </w:r>
      <w:r>
        <w:fldChar w:fldCharType="separate"/>
      </w:r>
      <w:r>
        <w:t>16</w:t>
      </w:r>
      <w:r>
        <w:fldChar w:fldCharType="end"/>
      </w:r>
      <w:r>
        <w:fldChar w:fldCharType="end"/>
      </w:r>
    </w:p>
    <w:p>
      <w:pPr>
        <w:pStyle w:val="40"/>
        <w:tabs>
          <w:tab w:val="right" w:leader="dot" w:pos="8835"/>
        </w:tabs>
        <w:rPr>
          <w:rFonts w:ascii="等线" w:hAnsi="等线" w:eastAsia="等线"/>
          <w:kern w:val="2"/>
          <w:sz w:val="21"/>
        </w:rPr>
      </w:pPr>
      <w:r>
        <w:fldChar w:fldCharType="begin"/>
      </w:r>
      <w:r>
        <w:instrText xml:space="preserve"> HYPERLINK \l "_Toc112257056" </w:instrText>
      </w:r>
      <w:r>
        <w:fldChar w:fldCharType="separate"/>
      </w:r>
      <w:r>
        <w:rPr>
          <w:rStyle w:val="54"/>
          <w:rFonts w:ascii="宋体" w:hAnsi="宋体" w:cs="宋体"/>
        </w:rPr>
        <w:t>二、供应商基本情况表</w:t>
      </w:r>
      <w:r>
        <w:tab/>
      </w:r>
      <w:r>
        <w:fldChar w:fldCharType="begin"/>
      </w:r>
      <w:r>
        <w:instrText xml:space="preserve"> PAGEREF _Toc112257056 \h </w:instrText>
      </w:r>
      <w:r>
        <w:fldChar w:fldCharType="separate"/>
      </w:r>
      <w:r>
        <w:t>17</w:t>
      </w:r>
      <w:r>
        <w:fldChar w:fldCharType="end"/>
      </w:r>
      <w:r>
        <w:fldChar w:fldCharType="end"/>
      </w:r>
    </w:p>
    <w:p>
      <w:pPr>
        <w:pStyle w:val="40"/>
        <w:tabs>
          <w:tab w:val="right" w:leader="dot" w:pos="8835"/>
        </w:tabs>
        <w:rPr>
          <w:rFonts w:ascii="等线" w:hAnsi="等线" w:eastAsia="等线"/>
          <w:kern w:val="2"/>
          <w:sz w:val="21"/>
        </w:rPr>
      </w:pPr>
      <w:r>
        <w:fldChar w:fldCharType="begin"/>
      </w:r>
      <w:r>
        <w:instrText xml:space="preserve"> HYPERLINK \l "_Toc112257057" </w:instrText>
      </w:r>
      <w:r>
        <w:fldChar w:fldCharType="separate"/>
      </w:r>
      <w:r>
        <w:rPr>
          <w:rStyle w:val="54"/>
          <w:b/>
          <w:bCs/>
        </w:rPr>
        <w:t>三、供应商营业执照等证明材料</w:t>
      </w:r>
      <w:r>
        <w:tab/>
      </w:r>
      <w:r>
        <w:fldChar w:fldCharType="begin"/>
      </w:r>
      <w:r>
        <w:instrText xml:space="preserve"> PAGEREF _Toc112257057 \h </w:instrText>
      </w:r>
      <w:r>
        <w:fldChar w:fldCharType="separate"/>
      </w:r>
      <w:r>
        <w:t>18</w:t>
      </w:r>
      <w:r>
        <w:fldChar w:fldCharType="end"/>
      </w:r>
      <w:r>
        <w:fldChar w:fldCharType="end"/>
      </w:r>
    </w:p>
    <w:p>
      <w:pPr>
        <w:pStyle w:val="40"/>
        <w:tabs>
          <w:tab w:val="right" w:leader="dot" w:pos="8835"/>
        </w:tabs>
        <w:rPr>
          <w:rFonts w:ascii="等线" w:hAnsi="等线" w:eastAsia="等线"/>
          <w:kern w:val="2"/>
          <w:sz w:val="21"/>
        </w:rPr>
      </w:pPr>
      <w:r>
        <w:fldChar w:fldCharType="begin"/>
      </w:r>
      <w:r>
        <w:instrText xml:space="preserve"> HYPERLINK \l "_Toc112257058" </w:instrText>
      </w:r>
      <w:r>
        <w:fldChar w:fldCharType="separate"/>
      </w:r>
      <w:r>
        <w:rPr>
          <w:rStyle w:val="54"/>
          <w:b/>
          <w:bCs/>
        </w:rPr>
        <w:t>四、法定代表人（负责人）身份证明</w:t>
      </w:r>
      <w:r>
        <w:tab/>
      </w:r>
      <w:r>
        <w:fldChar w:fldCharType="begin"/>
      </w:r>
      <w:r>
        <w:instrText xml:space="preserve"> PAGEREF _Toc112257058 \h </w:instrText>
      </w:r>
      <w:r>
        <w:fldChar w:fldCharType="separate"/>
      </w:r>
      <w:r>
        <w:t>18</w:t>
      </w:r>
      <w:r>
        <w:fldChar w:fldCharType="end"/>
      </w:r>
      <w:r>
        <w:fldChar w:fldCharType="end"/>
      </w:r>
    </w:p>
    <w:p>
      <w:pPr>
        <w:pStyle w:val="40"/>
        <w:tabs>
          <w:tab w:val="right" w:leader="dot" w:pos="8835"/>
        </w:tabs>
        <w:rPr>
          <w:rFonts w:ascii="等线" w:hAnsi="等线" w:eastAsia="等线"/>
          <w:kern w:val="2"/>
          <w:sz w:val="21"/>
        </w:rPr>
      </w:pPr>
      <w:r>
        <w:fldChar w:fldCharType="begin"/>
      </w:r>
      <w:r>
        <w:instrText xml:space="preserve"> HYPERLINK \l "_Toc112257059" </w:instrText>
      </w:r>
      <w:r>
        <w:fldChar w:fldCharType="separate"/>
      </w:r>
      <w:r>
        <w:rPr>
          <w:rStyle w:val="54"/>
          <w:rFonts w:ascii="宋体" w:hAnsi="宋体" w:cs="宋体"/>
        </w:rPr>
        <w:t>五、法定代表人（负责人）授权书</w:t>
      </w:r>
      <w:r>
        <w:tab/>
      </w:r>
      <w:r>
        <w:fldChar w:fldCharType="begin"/>
      </w:r>
      <w:r>
        <w:instrText xml:space="preserve"> PAGEREF _Toc112257059 \h </w:instrText>
      </w:r>
      <w:r>
        <w:fldChar w:fldCharType="separate"/>
      </w:r>
      <w:r>
        <w:t>19</w:t>
      </w:r>
      <w:r>
        <w:fldChar w:fldCharType="end"/>
      </w:r>
      <w:r>
        <w:fldChar w:fldCharType="end"/>
      </w:r>
    </w:p>
    <w:p>
      <w:pPr>
        <w:pStyle w:val="40"/>
        <w:tabs>
          <w:tab w:val="right" w:leader="dot" w:pos="8835"/>
        </w:tabs>
        <w:rPr>
          <w:rFonts w:ascii="等线" w:hAnsi="等线" w:eastAsia="等线"/>
          <w:kern w:val="2"/>
          <w:sz w:val="21"/>
        </w:rPr>
      </w:pPr>
      <w:r>
        <w:fldChar w:fldCharType="begin"/>
      </w:r>
      <w:r>
        <w:instrText xml:space="preserve"> HYPERLINK \l "_Toc112257060" </w:instrText>
      </w:r>
      <w:r>
        <w:fldChar w:fldCharType="separate"/>
      </w:r>
      <w:r>
        <w:rPr>
          <w:rStyle w:val="54"/>
          <w:rFonts w:ascii="宋体" w:hAnsi="宋体" w:cs="宋体"/>
        </w:rPr>
        <w:t>六、磋商文件要求提供的其他文件或资料</w:t>
      </w:r>
      <w:r>
        <w:tab/>
      </w:r>
      <w:r>
        <w:fldChar w:fldCharType="begin"/>
      </w:r>
      <w:r>
        <w:instrText xml:space="preserve"> PAGEREF _Toc112257060 \h </w:instrText>
      </w:r>
      <w:r>
        <w:fldChar w:fldCharType="separate"/>
      </w:r>
      <w:r>
        <w:t>20</w:t>
      </w:r>
      <w:r>
        <w:fldChar w:fldCharType="end"/>
      </w:r>
      <w:r>
        <w:fldChar w:fldCharType="end"/>
      </w:r>
    </w:p>
    <w:p>
      <w:pPr>
        <w:pStyle w:val="40"/>
        <w:tabs>
          <w:tab w:val="right" w:leader="dot" w:pos="8835"/>
        </w:tabs>
        <w:rPr>
          <w:rFonts w:ascii="等线" w:hAnsi="等线" w:eastAsia="等线"/>
          <w:kern w:val="2"/>
          <w:sz w:val="21"/>
        </w:rPr>
      </w:pPr>
      <w:r>
        <w:fldChar w:fldCharType="begin"/>
      </w:r>
      <w:r>
        <w:instrText xml:space="preserve"> HYPERLINK \l "_Toc112257061" </w:instrText>
      </w:r>
      <w:r>
        <w:fldChar w:fldCharType="separate"/>
      </w:r>
      <w:r>
        <w:rPr>
          <w:rStyle w:val="54"/>
          <w:rFonts w:ascii="宋体" w:hAnsi="宋体" w:cs="宋体"/>
        </w:rPr>
        <w:t>八、供应商认为需要提供的其他文件或资料</w:t>
      </w:r>
      <w:r>
        <w:tab/>
      </w:r>
      <w:r>
        <w:fldChar w:fldCharType="begin"/>
      </w:r>
      <w:r>
        <w:instrText xml:space="preserve"> PAGEREF _Toc112257061 \h </w:instrText>
      </w:r>
      <w:r>
        <w:fldChar w:fldCharType="separate"/>
      </w:r>
      <w:r>
        <w:t>20</w:t>
      </w:r>
      <w:r>
        <w:fldChar w:fldCharType="end"/>
      </w:r>
      <w:r>
        <w:fldChar w:fldCharType="end"/>
      </w:r>
    </w:p>
    <w:p>
      <w:pPr>
        <w:pStyle w:val="40"/>
        <w:tabs>
          <w:tab w:val="right" w:leader="dot" w:pos="8835"/>
        </w:tabs>
        <w:rPr>
          <w:rFonts w:ascii="等线" w:hAnsi="等线" w:eastAsia="等线"/>
          <w:kern w:val="2"/>
          <w:sz w:val="21"/>
        </w:rPr>
      </w:pPr>
      <w:r>
        <w:fldChar w:fldCharType="begin"/>
      </w:r>
      <w:r>
        <w:instrText xml:space="preserve"> HYPERLINK \l "_Toc112257062" </w:instrText>
      </w:r>
      <w:r>
        <w:fldChar w:fldCharType="separate"/>
      </w:r>
      <w:r>
        <w:rPr>
          <w:rStyle w:val="54"/>
          <w:rFonts w:ascii="宋体" w:hAnsi="宋体"/>
        </w:rPr>
        <w:t>技术服务部分</w:t>
      </w:r>
      <w:r>
        <w:tab/>
      </w:r>
      <w:r>
        <w:fldChar w:fldCharType="begin"/>
      </w:r>
      <w:r>
        <w:instrText xml:space="preserve"> PAGEREF _Toc112257062 \h </w:instrText>
      </w:r>
      <w:r>
        <w:fldChar w:fldCharType="separate"/>
      </w:r>
      <w:r>
        <w:t>21</w:t>
      </w:r>
      <w:r>
        <w:fldChar w:fldCharType="end"/>
      </w:r>
      <w:r>
        <w:fldChar w:fldCharType="end"/>
      </w:r>
    </w:p>
    <w:p>
      <w:pPr>
        <w:pStyle w:val="40"/>
        <w:tabs>
          <w:tab w:val="right" w:leader="dot" w:pos="8835"/>
        </w:tabs>
        <w:rPr>
          <w:rFonts w:ascii="等线" w:hAnsi="等线" w:eastAsia="等线"/>
          <w:kern w:val="2"/>
          <w:sz w:val="21"/>
        </w:rPr>
      </w:pPr>
      <w:r>
        <w:fldChar w:fldCharType="begin"/>
      </w:r>
      <w:r>
        <w:instrText xml:space="preserve"> HYPERLINK \l "_Toc112257063" </w:instrText>
      </w:r>
      <w:r>
        <w:fldChar w:fldCharType="separate"/>
      </w:r>
      <w:r>
        <w:rPr>
          <w:rStyle w:val="54"/>
          <w:rFonts w:ascii="宋体" w:hAnsi="宋体" w:cs="宋体"/>
        </w:rPr>
        <w:t>一、磋商函（格式须符合）</w:t>
      </w:r>
      <w:r>
        <w:tab/>
      </w:r>
      <w:r>
        <w:fldChar w:fldCharType="begin"/>
      </w:r>
      <w:r>
        <w:instrText xml:space="preserve"> PAGEREF _Toc112257063 \h </w:instrText>
      </w:r>
      <w:r>
        <w:fldChar w:fldCharType="separate"/>
      </w:r>
      <w:r>
        <w:t>22</w:t>
      </w:r>
      <w:r>
        <w:fldChar w:fldCharType="end"/>
      </w:r>
      <w:r>
        <w:fldChar w:fldCharType="end"/>
      </w:r>
    </w:p>
    <w:p>
      <w:pPr>
        <w:pStyle w:val="40"/>
        <w:tabs>
          <w:tab w:val="right" w:leader="dot" w:pos="8835"/>
        </w:tabs>
        <w:rPr>
          <w:rFonts w:ascii="等线" w:hAnsi="等线" w:eastAsia="等线"/>
          <w:kern w:val="2"/>
          <w:sz w:val="21"/>
        </w:rPr>
      </w:pPr>
      <w:r>
        <w:fldChar w:fldCharType="begin"/>
      </w:r>
      <w:r>
        <w:instrText xml:space="preserve"> HYPERLINK \l "_Toc112257064" </w:instrText>
      </w:r>
      <w:r>
        <w:fldChar w:fldCharType="separate"/>
      </w:r>
      <w:r>
        <w:rPr>
          <w:rStyle w:val="54"/>
          <w:rFonts w:ascii="宋体" w:hAnsi="宋体" w:cs="宋体"/>
        </w:rPr>
        <w:t>二、项目实施方案</w:t>
      </w:r>
      <w:r>
        <w:tab/>
      </w:r>
      <w:r>
        <w:fldChar w:fldCharType="begin"/>
      </w:r>
      <w:r>
        <w:instrText xml:space="preserve"> PAGEREF _Toc112257064 \h </w:instrText>
      </w:r>
      <w:r>
        <w:fldChar w:fldCharType="separate"/>
      </w:r>
      <w:r>
        <w:t>23</w:t>
      </w:r>
      <w:r>
        <w:fldChar w:fldCharType="end"/>
      </w:r>
      <w:r>
        <w:fldChar w:fldCharType="end"/>
      </w:r>
    </w:p>
    <w:p>
      <w:pPr>
        <w:pStyle w:val="40"/>
        <w:tabs>
          <w:tab w:val="right" w:leader="dot" w:pos="8835"/>
        </w:tabs>
        <w:rPr>
          <w:rFonts w:ascii="等线" w:hAnsi="等线" w:eastAsia="等线"/>
          <w:kern w:val="2"/>
          <w:sz w:val="21"/>
        </w:rPr>
      </w:pPr>
      <w:r>
        <w:fldChar w:fldCharType="begin"/>
      </w:r>
      <w:r>
        <w:instrText xml:space="preserve"> HYPERLINK \l "_Toc112257065" </w:instrText>
      </w:r>
      <w:r>
        <w:fldChar w:fldCharType="separate"/>
      </w:r>
      <w:r>
        <w:rPr>
          <w:rStyle w:val="54"/>
          <w:rFonts w:ascii="宋体" w:hAnsi="宋体" w:cs="宋体"/>
        </w:rPr>
        <w:t>三、技术参数应答表</w:t>
      </w:r>
      <w:r>
        <w:tab/>
      </w:r>
      <w:r>
        <w:fldChar w:fldCharType="begin"/>
      </w:r>
      <w:r>
        <w:instrText xml:space="preserve"> PAGEREF _Toc112257065 \h </w:instrText>
      </w:r>
      <w:r>
        <w:fldChar w:fldCharType="separate"/>
      </w:r>
      <w:r>
        <w:t>24</w:t>
      </w:r>
      <w:r>
        <w:fldChar w:fldCharType="end"/>
      </w:r>
      <w:r>
        <w:fldChar w:fldCharType="end"/>
      </w:r>
    </w:p>
    <w:p>
      <w:pPr>
        <w:pStyle w:val="40"/>
        <w:tabs>
          <w:tab w:val="right" w:leader="dot" w:pos="8835"/>
        </w:tabs>
        <w:rPr>
          <w:rFonts w:ascii="等线" w:hAnsi="等线" w:eastAsia="等线"/>
          <w:kern w:val="2"/>
          <w:sz w:val="21"/>
        </w:rPr>
      </w:pPr>
      <w:r>
        <w:fldChar w:fldCharType="begin"/>
      </w:r>
      <w:r>
        <w:instrText xml:space="preserve"> HYPERLINK \l "_Toc112257066" </w:instrText>
      </w:r>
      <w:r>
        <w:fldChar w:fldCharType="separate"/>
      </w:r>
      <w:r>
        <w:rPr>
          <w:rStyle w:val="54"/>
          <w:rFonts w:ascii="宋体" w:hAnsi="宋体" w:cs="宋体"/>
        </w:rPr>
        <w:t>四、采购合同内容主要条款响应及偏离表</w:t>
      </w:r>
      <w:r>
        <w:tab/>
      </w:r>
      <w:r>
        <w:fldChar w:fldCharType="begin"/>
      </w:r>
      <w:r>
        <w:instrText xml:space="preserve"> PAGEREF _Toc112257066 \h </w:instrText>
      </w:r>
      <w:r>
        <w:fldChar w:fldCharType="separate"/>
      </w:r>
      <w:r>
        <w:t>25</w:t>
      </w:r>
      <w:r>
        <w:fldChar w:fldCharType="end"/>
      </w:r>
      <w:r>
        <w:fldChar w:fldCharType="end"/>
      </w:r>
    </w:p>
    <w:p>
      <w:pPr>
        <w:pStyle w:val="40"/>
        <w:tabs>
          <w:tab w:val="right" w:leader="dot" w:pos="8835"/>
        </w:tabs>
        <w:rPr>
          <w:rFonts w:ascii="等线" w:hAnsi="等线" w:eastAsia="等线"/>
          <w:kern w:val="2"/>
          <w:sz w:val="21"/>
        </w:rPr>
      </w:pPr>
      <w:r>
        <w:fldChar w:fldCharType="begin"/>
      </w:r>
      <w:r>
        <w:instrText xml:space="preserve"> HYPERLINK \l "_Toc112257067" </w:instrText>
      </w:r>
      <w:r>
        <w:fldChar w:fldCharType="separate"/>
      </w:r>
      <w:r>
        <w:rPr>
          <w:rStyle w:val="54"/>
          <w:rFonts w:ascii="宋体" w:hAnsi="宋体" w:cs="宋体"/>
        </w:rPr>
        <w:t>五、磋商文件要求提供的其他文件或资料</w:t>
      </w:r>
      <w:r>
        <w:tab/>
      </w:r>
      <w:r>
        <w:fldChar w:fldCharType="begin"/>
      </w:r>
      <w:r>
        <w:instrText xml:space="preserve"> PAGEREF _Toc112257067 \h </w:instrText>
      </w:r>
      <w:r>
        <w:fldChar w:fldCharType="separate"/>
      </w:r>
      <w:r>
        <w:t>26</w:t>
      </w:r>
      <w:r>
        <w:fldChar w:fldCharType="end"/>
      </w:r>
      <w:r>
        <w:fldChar w:fldCharType="end"/>
      </w:r>
    </w:p>
    <w:p>
      <w:pPr>
        <w:pStyle w:val="40"/>
        <w:tabs>
          <w:tab w:val="right" w:leader="dot" w:pos="8835"/>
        </w:tabs>
        <w:rPr>
          <w:rFonts w:ascii="等线" w:hAnsi="等线" w:eastAsia="等线"/>
          <w:kern w:val="2"/>
          <w:sz w:val="21"/>
        </w:rPr>
      </w:pPr>
      <w:r>
        <w:fldChar w:fldCharType="begin"/>
      </w:r>
      <w:r>
        <w:instrText xml:space="preserve"> HYPERLINK \l "_Toc112257068" </w:instrText>
      </w:r>
      <w:r>
        <w:fldChar w:fldCharType="separate"/>
      </w:r>
      <w:r>
        <w:rPr>
          <w:rStyle w:val="54"/>
          <w:rFonts w:ascii="宋体" w:hAnsi="宋体" w:cs="宋体"/>
        </w:rPr>
        <w:t>六、供应商认为有必要提供的文件或资料</w:t>
      </w:r>
      <w:r>
        <w:tab/>
      </w:r>
      <w:r>
        <w:fldChar w:fldCharType="begin"/>
      </w:r>
      <w:r>
        <w:instrText xml:space="preserve"> PAGEREF _Toc112257068 \h </w:instrText>
      </w:r>
      <w:r>
        <w:fldChar w:fldCharType="separate"/>
      </w:r>
      <w:r>
        <w:t>26</w:t>
      </w:r>
      <w:r>
        <w:fldChar w:fldCharType="end"/>
      </w:r>
      <w:r>
        <w:fldChar w:fldCharType="end"/>
      </w:r>
    </w:p>
    <w:p>
      <w:pPr>
        <w:pStyle w:val="40"/>
        <w:tabs>
          <w:tab w:val="right" w:leader="dot" w:pos="8835"/>
        </w:tabs>
        <w:rPr>
          <w:rFonts w:ascii="等线" w:hAnsi="等线" w:eastAsia="等线"/>
          <w:kern w:val="2"/>
          <w:sz w:val="21"/>
        </w:rPr>
      </w:pPr>
      <w:r>
        <w:fldChar w:fldCharType="begin"/>
      </w:r>
      <w:r>
        <w:instrText xml:space="preserve"> HYPERLINK \l "_Toc112257069" </w:instrText>
      </w:r>
      <w:r>
        <w:fldChar w:fldCharType="separate"/>
      </w:r>
      <w:r>
        <w:rPr>
          <w:rStyle w:val="54"/>
          <w:rFonts w:ascii="宋体" w:hAnsi="宋体"/>
        </w:rPr>
        <w:t>报价部分</w:t>
      </w:r>
      <w:r>
        <w:tab/>
      </w:r>
      <w:r>
        <w:fldChar w:fldCharType="begin"/>
      </w:r>
      <w:r>
        <w:instrText xml:space="preserve"> PAGEREF _Toc112257069 \h </w:instrText>
      </w:r>
      <w:r>
        <w:fldChar w:fldCharType="separate"/>
      </w:r>
      <w:r>
        <w:t>27</w:t>
      </w:r>
      <w:r>
        <w:fldChar w:fldCharType="end"/>
      </w:r>
      <w:r>
        <w:fldChar w:fldCharType="end"/>
      </w:r>
    </w:p>
    <w:p>
      <w:pPr>
        <w:pStyle w:val="40"/>
        <w:tabs>
          <w:tab w:val="right" w:leader="dot" w:pos="8835"/>
        </w:tabs>
        <w:rPr>
          <w:rFonts w:ascii="等线" w:hAnsi="等线" w:eastAsia="等线"/>
          <w:kern w:val="2"/>
          <w:sz w:val="21"/>
        </w:rPr>
      </w:pPr>
      <w:r>
        <w:fldChar w:fldCharType="begin"/>
      </w:r>
      <w:r>
        <w:instrText xml:space="preserve"> HYPERLINK \l "_Toc112257070" </w:instrText>
      </w:r>
      <w:r>
        <w:fldChar w:fldCharType="separate"/>
      </w:r>
      <w:r>
        <w:rPr>
          <w:rStyle w:val="54"/>
          <w:rFonts w:ascii="宋体" w:hAnsi="宋体" w:cs="宋体"/>
        </w:rPr>
        <w:t>一、报价汇总表</w:t>
      </w:r>
      <w:r>
        <w:tab/>
      </w:r>
      <w:r>
        <w:fldChar w:fldCharType="begin"/>
      </w:r>
      <w:r>
        <w:instrText xml:space="preserve"> PAGEREF _Toc112257070 \h </w:instrText>
      </w:r>
      <w:r>
        <w:fldChar w:fldCharType="separate"/>
      </w:r>
      <w:r>
        <w:t>28</w:t>
      </w:r>
      <w:r>
        <w:fldChar w:fldCharType="end"/>
      </w:r>
      <w:r>
        <w:fldChar w:fldCharType="end"/>
      </w:r>
    </w:p>
    <w:p>
      <w:pPr>
        <w:pStyle w:val="40"/>
        <w:tabs>
          <w:tab w:val="right" w:leader="dot" w:pos="8835"/>
        </w:tabs>
        <w:rPr>
          <w:rFonts w:ascii="等线" w:hAnsi="等线" w:eastAsia="等线"/>
          <w:kern w:val="2"/>
          <w:sz w:val="21"/>
        </w:rPr>
      </w:pPr>
      <w:r>
        <w:fldChar w:fldCharType="begin"/>
      </w:r>
      <w:r>
        <w:instrText xml:space="preserve"> HYPERLINK \l "_Toc112257071" </w:instrText>
      </w:r>
      <w:r>
        <w:fldChar w:fldCharType="separate"/>
      </w:r>
      <w:r>
        <w:rPr>
          <w:rStyle w:val="54"/>
          <w:rFonts w:ascii="宋体" w:hAnsi="宋体" w:cs="宋体"/>
        </w:rPr>
        <w:t>二、分项报价明细表</w:t>
      </w:r>
      <w:r>
        <w:tab/>
      </w:r>
      <w:r>
        <w:fldChar w:fldCharType="begin"/>
      </w:r>
      <w:r>
        <w:instrText xml:space="preserve"> PAGEREF _Toc112257071 \h </w:instrText>
      </w:r>
      <w:r>
        <w:fldChar w:fldCharType="separate"/>
      </w:r>
      <w:r>
        <w:t>29</w:t>
      </w:r>
      <w:r>
        <w:fldChar w:fldCharType="end"/>
      </w:r>
      <w:r>
        <w:fldChar w:fldCharType="end"/>
      </w:r>
    </w:p>
    <w:p>
      <w:pPr>
        <w:pStyle w:val="33"/>
        <w:tabs>
          <w:tab w:val="right" w:leader="dot" w:pos="8835"/>
        </w:tabs>
        <w:rPr>
          <w:rFonts w:ascii="等线" w:hAnsi="等线" w:eastAsia="等线"/>
          <w:kern w:val="2"/>
          <w:sz w:val="21"/>
        </w:rPr>
      </w:pPr>
      <w:r>
        <w:fldChar w:fldCharType="begin"/>
      </w:r>
      <w:r>
        <w:instrText xml:space="preserve"> HYPERLINK \l "_Toc112257072" </w:instrText>
      </w:r>
      <w:r>
        <w:fldChar w:fldCharType="separate"/>
      </w:r>
      <w:r>
        <w:rPr>
          <w:rStyle w:val="54"/>
        </w:rPr>
        <w:t>第四章  采购需求</w:t>
      </w:r>
      <w:r>
        <w:tab/>
      </w:r>
      <w:r>
        <w:fldChar w:fldCharType="begin"/>
      </w:r>
      <w:r>
        <w:instrText xml:space="preserve"> PAGEREF _Toc112257072 \h </w:instrText>
      </w:r>
      <w:r>
        <w:fldChar w:fldCharType="separate"/>
      </w:r>
      <w:r>
        <w:t>31</w:t>
      </w:r>
      <w:r>
        <w:fldChar w:fldCharType="end"/>
      </w:r>
      <w:r>
        <w:fldChar w:fldCharType="end"/>
      </w:r>
    </w:p>
    <w:p>
      <w:pPr>
        <w:pStyle w:val="40"/>
        <w:tabs>
          <w:tab w:val="right" w:leader="dot" w:pos="8835"/>
        </w:tabs>
        <w:rPr>
          <w:rFonts w:ascii="等线" w:hAnsi="等线" w:eastAsia="等线"/>
          <w:kern w:val="2"/>
          <w:sz w:val="21"/>
        </w:rPr>
      </w:pPr>
      <w:r>
        <w:fldChar w:fldCharType="begin"/>
      </w:r>
      <w:r>
        <w:instrText xml:space="preserve"> HYPERLINK \l "_Toc112257073" </w:instrText>
      </w:r>
      <w:r>
        <w:fldChar w:fldCharType="separate"/>
      </w:r>
      <w:r>
        <w:rPr>
          <w:rStyle w:val="54"/>
        </w:rPr>
        <w:t>一、项目概况</w:t>
      </w:r>
      <w:r>
        <w:tab/>
      </w:r>
      <w:r>
        <w:fldChar w:fldCharType="begin"/>
      </w:r>
      <w:r>
        <w:instrText xml:space="preserve"> PAGEREF _Toc112257073 \h </w:instrText>
      </w:r>
      <w:r>
        <w:fldChar w:fldCharType="separate"/>
      </w:r>
      <w:r>
        <w:t>31</w:t>
      </w:r>
      <w:r>
        <w:fldChar w:fldCharType="end"/>
      </w:r>
      <w:r>
        <w:fldChar w:fldCharType="end"/>
      </w:r>
    </w:p>
    <w:p>
      <w:pPr>
        <w:pStyle w:val="40"/>
        <w:tabs>
          <w:tab w:val="right" w:leader="dot" w:pos="8835"/>
        </w:tabs>
        <w:rPr>
          <w:rFonts w:ascii="等线" w:hAnsi="等线" w:eastAsia="等线"/>
          <w:kern w:val="2"/>
          <w:sz w:val="21"/>
        </w:rPr>
      </w:pPr>
      <w:r>
        <w:fldChar w:fldCharType="begin"/>
      </w:r>
      <w:r>
        <w:instrText xml:space="preserve"> HYPERLINK \l "_Toc112257074" </w:instrText>
      </w:r>
      <w:r>
        <w:fldChar w:fldCharType="separate"/>
      </w:r>
      <w:r>
        <w:rPr>
          <w:rStyle w:val="54"/>
        </w:rPr>
        <w:t>二、采购清单</w:t>
      </w:r>
      <w:r>
        <w:tab/>
      </w:r>
      <w:r>
        <w:fldChar w:fldCharType="begin"/>
      </w:r>
      <w:r>
        <w:instrText xml:space="preserve"> PAGEREF _Toc112257074 \h </w:instrText>
      </w:r>
      <w:r>
        <w:fldChar w:fldCharType="separate"/>
      </w:r>
      <w:r>
        <w:t>31</w:t>
      </w:r>
      <w:r>
        <w:fldChar w:fldCharType="end"/>
      </w:r>
      <w:r>
        <w:fldChar w:fldCharType="end"/>
      </w:r>
    </w:p>
    <w:p>
      <w:pPr>
        <w:pStyle w:val="40"/>
        <w:tabs>
          <w:tab w:val="right" w:leader="dot" w:pos="8835"/>
        </w:tabs>
        <w:rPr>
          <w:rFonts w:ascii="等线" w:hAnsi="等线" w:eastAsia="等线"/>
          <w:kern w:val="2"/>
          <w:sz w:val="21"/>
        </w:rPr>
      </w:pPr>
      <w:r>
        <w:fldChar w:fldCharType="begin"/>
      </w:r>
      <w:r>
        <w:instrText xml:space="preserve"> HYPERLINK \l "_Toc112257075" </w:instrText>
      </w:r>
      <w:r>
        <w:fldChar w:fldCharType="separate"/>
      </w:r>
      <w:r>
        <w:rPr>
          <w:rStyle w:val="54"/>
        </w:rPr>
        <w:t>三、技术参数要求：</w:t>
      </w:r>
      <w:r>
        <w:tab/>
      </w:r>
      <w:r>
        <w:fldChar w:fldCharType="begin"/>
      </w:r>
      <w:r>
        <w:instrText xml:space="preserve"> PAGEREF _Toc112257075 \h </w:instrText>
      </w:r>
      <w:r>
        <w:fldChar w:fldCharType="separate"/>
      </w:r>
      <w:r>
        <w:t>32</w:t>
      </w:r>
      <w:r>
        <w:fldChar w:fldCharType="end"/>
      </w:r>
      <w:r>
        <w:fldChar w:fldCharType="end"/>
      </w:r>
    </w:p>
    <w:p>
      <w:pPr>
        <w:pStyle w:val="40"/>
        <w:tabs>
          <w:tab w:val="right" w:leader="dot" w:pos="8835"/>
        </w:tabs>
        <w:rPr>
          <w:rFonts w:ascii="等线" w:hAnsi="等线" w:eastAsia="等线"/>
          <w:kern w:val="2"/>
          <w:sz w:val="21"/>
        </w:rPr>
      </w:pPr>
      <w:r>
        <w:fldChar w:fldCharType="begin"/>
      </w:r>
      <w:r>
        <w:instrText xml:space="preserve"> HYPERLINK \l "_Toc112257076" </w:instrText>
      </w:r>
      <w:r>
        <w:fldChar w:fldCharType="separate"/>
      </w:r>
      <w:r>
        <w:rPr>
          <w:rStyle w:val="54"/>
        </w:rPr>
        <w:t>四、项目要求</w:t>
      </w:r>
      <w:r>
        <w:tab/>
      </w:r>
      <w:r>
        <w:fldChar w:fldCharType="begin"/>
      </w:r>
      <w:r>
        <w:instrText xml:space="preserve"> PAGEREF _Toc112257076 \h </w:instrText>
      </w:r>
      <w:r>
        <w:fldChar w:fldCharType="separate"/>
      </w:r>
      <w:r>
        <w:t>34</w:t>
      </w:r>
      <w:r>
        <w:fldChar w:fldCharType="end"/>
      </w:r>
      <w:r>
        <w:fldChar w:fldCharType="end"/>
      </w:r>
    </w:p>
    <w:p>
      <w:pPr>
        <w:pStyle w:val="25"/>
        <w:tabs>
          <w:tab w:val="right" w:leader="dot" w:pos="8835"/>
        </w:tabs>
        <w:rPr>
          <w:rFonts w:ascii="等线" w:hAnsi="等线" w:eastAsia="等线"/>
          <w:kern w:val="2"/>
          <w:sz w:val="21"/>
        </w:rPr>
      </w:pPr>
      <w:r>
        <w:fldChar w:fldCharType="begin"/>
      </w:r>
      <w:r>
        <w:instrText xml:space="preserve"> HYPERLINK \l "_Toc112257077" </w:instrText>
      </w:r>
      <w:r>
        <w:fldChar w:fldCharType="separate"/>
      </w:r>
      <w:r>
        <w:rPr>
          <w:rStyle w:val="54"/>
          <w:snapToGrid w:val="0"/>
        </w:rPr>
        <w:t>（一）、服务要求</w:t>
      </w:r>
      <w:r>
        <w:tab/>
      </w:r>
      <w:r>
        <w:fldChar w:fldCharType="begin"/>
      </w:r>
      <w:r>
        <w:instrText xml:space="preserve"> PAGEREF _Toc112257077 \h </w:instrText>
      </w:r>
      <w:r>
        <w:fldChar w:fldCharType="separate"/>
      </w:r>
      <w:r>
        <w:t>34</w:t>
      </w:r>
      <w:r>
        <w:fldChar w:fldCharType="end"/>
      </w:r>
      <w:r>
        <w:fldChar w:fldCharType="end"/>
      </w:r>
    </w:p>
    <w:p>
      <w:pPr>
        <w:pStyle w:val="25"/>
        <w:tabs>
          <w:tab w:val="right" w:leader="dot" w:pos="8835"/>
        </w:tabs>
        <w:rPr>
          <w:rFonts w:ascii="等线" w:hAnsi="等线" w:eastAsia="等线"/>
          <w:kern w:val="2"/>
          <w:sz w:val="21"/>
        </w:rPr>
      </w:pPr>
      <w:r>
        <w:fldChar w:fldCharType="begin"/>
      </w:r>
      <w:r>
        <w:instrText xml:space="preserve"> HYPERLINK \l "_Toc112257078" </w:instrText>
      </w:r>
      <w:r>
        <w:fldChar w:fldCharType="separate"/>
      </w:r>
      <w:r>
        <w:rPr>
          <w:rStyle w:val="54"/>
          <w:snapToGrid w:val="0"/>
        </w:rPr>
        <w:t>（二）、</w:t>
      </w:r>
      <w:r>
        <w:rPr>
          <w:rStyle w:val="54"/>
          <w:rFonts w:hint="eastAsia" w:ascii="宋体" w:hAnsi="宋体" w:cs="宋体"/>
          <w:snapToGrid w:val="0"/>
        </w:rPr>
        <w:t>※</w:t>
      </w:r>
      <w:r>
        <w:rPr>
          <w:rStyle w:val="54"/>
          <w:snapToGrid w:val="0"/>
        </w:rPr>
        <w:t>质量要求</w:t>
      </w:r>
      <w:r>
        <w:tab/>
      </w:r>
      <w:r>
        <w:fldChar w:fldCharType="begin"/>
      </w:r>
      <w:r>
        <w:instrText xml:space="preserve"> PAGEREF _Toc112257078 \h </w:instrText>
      </w:r>
      <w:r>
        <w:fldChar w:fldCharType="separate"/>
      </w:r>
      <w:r>
        <w:t>34</w:t>
      </w:r>
      <w:r>
        <w:fldChar w:fldCharType="end"/>
      </w:r>
      <w:r>
        <w:fldChar w:fldCharType="end"/>
      </w:r>
    </w:p>
    <w:p>
      <w:pPr>
        <w:pStyle w:val="25"/>
        <w:tabs>
          <w:tab w:val="right" w:leader="dot" w:pos="8835"/>
        </w:tabs>
        <w:rPr>
          <w:rFonts w:ascii="等线" w:hAnsi="等线" w:eastAsia="等线"/>
          <w:kern w:val="2"/>
          <w:sz w:val="21"/>
        </w:rPr>
      </w:pPr>
      <w:r>
        <w:fldChar w:fldCharType="begin"/>
      </w:r>
      <w:r>
        <w:instrText xml:space="preserve"> HYPERLINK \l "_Toc112257079" </w:instrText>
      </w:r>
      <w:r>
        <w:fldChar w:fldCharType="separate"/>
      </w:r>
      <w:r>
        <w:rPr>
          <w:rStyle w:val="54"/>
          <w:snapToGrid w:val="0"/>
        </w:rPr>
        <w:t>（三）、售后服务要求</w:t>
      </w:r>
      <w:r>
        <w:tab/>
      </w:r>
      <w:r>
        <w:fldChar w:fldCharType="begin"/>
      </w:r>
      <w:r>
        <w:instrText xml:space="preserve"> PAGEREF _Toc112257079 \h </w:instrText>
      </w:r>
      <w:r>
        <w:fldChar w:fldCharType="separate"/>
      </w:r>
      <w:r>
        <w:t>35</w:t>
      </w:r>
      <w:r>
        <w:fldChar w:fldCharType="end"/>
      </w:r>
      <w:r>
        <w:fldChar w:fldCharType="end"/>
      </w:r>
    </w:p>
    <w:p>
      <w:pPr>
        <w:pStyle w:val="40"/>
        <w:tabs>
          <w:tab w:val="right" w:leader="dot" w:pos="8835"/>
        </w:tabs>
        <w:rPr>
          <w:rFonts w:ascii="等线" w:hAnsi="等线" w:eastAsia="等线"/>
          <w:kern w:val="2"/>
          <w:sz w:val="21"/>
        </w:rPr>
      </w:pPr>
      <w:r>
        <w:fldChar w:fldCharType="begin"/>
      </w:r>
      <w:r>
        <w:instrText xml:space="preserve"> HYPERLINK \l "_Toc112257080" </w:instrText>
      </w:r>
      <w:r>
        <w:fldChar w:fldCharType="separate"/>
      </w:r>
      <w:r>
        <w:rPr>
          <w:rStyle w:val="54"/>
        </w:rPr>
        <w:t>五、商务</w:t>
      </w:r>
      <w:r>
        <w:rPr>
          <w:rStyle w:val="54"/>
          <w:rFonts w:cs="宋体"/>
        </w:rPr>
        <w:t>要求</w:t>
      </w:r>
      <w:r>
        <w:tab/>
      </w:r>
      <w:r>
        <w:fldChar w:fldCharType="begin"/>
      </w:r>
      <w:r>
        <w:instrText xml:space="preserve"> PAGEREF _Toc112257080 \h </w:instrText>
      </w:r>
      <w:r>
        <w:fldChar w:fldCharType="separate"/>
      </w:r>
      <w:r>
        <w:t>35</w:t>
      </w:r>
      <w:r>
        <w:fldChar w:fldCharType="end"/>
      </w:r>
      <w:r>
        <w:fldChar w:fldCharType="end"/>
      </w:r>
    </w:p>
    <w:p>
      <w:pPr>
        <w:pStyle w:val="25"/>
        <w:tabs>
          <w:tab w:val="right" w:leader="dot" w:pos="8835"/>
        </w:tabs>
        <w:rPr>
          <w:rFonts w:ascii="等线" w:hAnsi="等线" w:eastAsia="等线"/>
          <w:kern w:val="2"/>
          <w:sz w:val="21"/>
        </w:rPr>
      </w:pPr>
      <w:r>
        <w:fldChar w:fldCharType="begin"/>
      </w:r>
      <w:r>
        <w:instrText xml:space="preserve"> HYPERLINK \l "_Toc112257081" </w:instrText>
      </w:r>
      <w:r>
        <w:fldChar w:fldCharType="separate"/>
      </w:r>
      <w:r>
        <w:rPr>
          <w:rStyle w:val="54"/>
          <w:snapToGrid w:val="0"/>
        </w:rPr>
        <w:t>（一）、</w:t>
      </w:r>
      <w:r>
        <w:rPr>
          <w:rStyle w:val="54"/>
        </w:rPr>
        <w:t>履约时间和地点</w:t>
      </w:r>
      <w:r>
        <w:tab/>
      </w:r>
      <w:r>
        <w:fldChar w:fldCharType="begin"/>
      </w:r>
      <w:r>
        <w:instrText xml:space="preserve"> PAGEREF _Toc112257081 \h </w:instrText>
      </w:r>
      <w:r>
        <w:fldChar w:fldCharType="separate"/>
      </w:r>
      <w:r>
        <w:t>35</w:t>
      </w:r>
      <w:r>
        <w:fldChar w:fldCharType="end"/>
      </w:r>
      <w:r>
        <w:fldChar w:fldCharType="end"/>
      </w:r>
    </w:p>
    <w:p>
      <w:pPr>
        <w:pStyle w:val="25"/>
        <w:tabs>
          <w:tab w:val="right" w:leader="dot" w:pos="8835"/>
        </w:tabs>
        <w:rPr>
          <w:rFonts w:ascii="等线" w:hAnsi="等线" w:eastAsia="等线"/>
          <w:kern w:val="2"/>
          <w:sz w:val="21"/>
        </w:rPr>
      </w:pPr>
      <w:r>
        <w:fldChar w:fldCharType="begin"/>
      </w:r>
      <w:r>
        <w:instrText xml:space="preserve"> HYPERLINK \l "_Toc112257082" </w:instrText>
      </w:r>
      <w:r>
        <w:fldChar w:fldCharType="separate"/>
      </w:r>
      <w:r>
        <w:rPr>
          <w:rStyle w:val="54"/>
          <w:snapToGrid w:val="0"/>
        </w:rPr>
        <w:t>（</w:t>
      </w:r>
      <w:r>
        <w:rPr>
          <w:rStyle w:val="54"/>
        </w:rPr>
        <w:t>二</w:t>
      </w:r>
      <w:r>
        <w:rPr>
          <w:rStyle w:val="54"/>
          <w:snapToGrid w:val="0"/>
        </w:rPr>
        <w:t>）、</w:t>
      </w:r>
      <w:r>
        <w:rPr>
          <w:rStyle w:val="54"/>
        </w:rPr>
        <w:t>付款方式</w:t>
      </w:r>
      <w:r>
        <w:tab/>
      </w:r>
      <w:r>
        <w:fldChar w:fldCharType="begin"/>
      </w:r>
      <w:r>
        <w:instrText xml:space="preserve"> PAGEREF _Toc112257082 \h </w:instrText>
      </w:r>
      <w:r>
        <w:fldChar w:fldCharType="separate"/>
      </w:r>
      <w:r>
        <w:t>35</w:t>
      </w:r>
      <w:r>
        <w:fldChar w:fldCharType="end"/>
      </w:r>
      <w:r>
        <w:fldChar w:fldCharType="end"/>
      </w:r>
    </w:p>
    <w:p>
      <w:pPr>
        <w:pStyle w:val="25"/>
        <w:tabs>
          <w:tab w:val="right" w:leader="dot" w:pos="8835"/>
        </w:tabs>
        <w:rPr>
          <w:rFonts w:ascii="等线" w:hAnsi="等线" w:eastAsia="等线"/>
          <w:kern w:val="2"/>
          <w:sz w:val="21"/>
        </w:rPr>
      </w:pPr>
      <w:r>
        <w:fldChar w:fldCharType="begin"/>
      </w:r>
      <w:r>
        <w:instrText xml:space="preserve"> HYPERLINK \l "_Toc112257083" </w:instrText>
      </w:r>
      <w:r>
        <w:fldChar w:fldCharType="separate"/>
      </w:r>
      <w:r>
        <w:rPr>
          <w:rStyle w:val="54"/>
          <w:snapToGrid w:val="0"/>
        </w:rPr>
        <w:t>（</w:t>
      </w:r>
      <w:r>
        <w:rPr>
          <w:rStyle w:val="54"/>
        </w:rPr>
        <w:t>三</w:t>
      </w:r>
      <w:r>
        <w:rPr>
          <w:rStyle w:val="54"/>
          <w:snapToGrid w:val="0"/>
        </w:rPr>
        <w:t>）、</w:t>
      </w:r>
      <w:r>
        <w:rPr>
          <w:rStyle w:val="54"/>
        </w:rPr>
        <w:t>合同价款</w:t>
      </w:r>
      <w:r>
        <w:tab/>
      </w:r>
      <w:r>
        <w:fldChar w:fldCharType="begin"/>
      </w:r>
      <w:r>
        <w:instrText xml:space="preserve"> PAGEREF _Toc112257083 \h </w:instrText>
      </w:r>
      <w:r>
        <w:fldChar w:fldCharType="separate"/>
      </w:r>
      <w:r>
        <w:t>36</w:t>
      </w:r>
      <w:r>
        <w:fldChar w:fldCharType="end"/>
      </w:r>
      <w:r>
        <w:fldChar w:fldCharType="end"/>
      </w:r>
    </w:p>
    <w:p>
      <w:pPr>
        <w:pStyle w:val="25"/>
        <w:tabs>
          <w:tab w:val="right" w:leader="dot" w:pos="8835"/>
        </w:tabs>
        <w:rPr>
          <w:rFonts w:ascii="等线" w:hAnsi="等线" w:eastAsia="等线"/>
          <w:kern w:val="2"/>
          <w:sz w:val="21"/>
        </w:rPr>
      </w:pPr>
      <w:r>
        <w:fldChar w:fldCharType="begin"/>
      </w:r>
      <w:r>
        <w:instrText xml:space="preserve"> HYPERLINK \l "_Toc112257084" </w:instrText>
      </w:r>
      <w:r>
        <w:fldChar w:fldCharType="separate"/>
      </w:r>
      <w:r>
        <w:rPr>
          <w:rStyle w:val="54"/>
          <w:snapToGrid w:val="0"/>
        </w:rPr>
        <w:t>（</w:t>
      </w:r>
      <w:r>
        <w:rPr>
          <w:rStyle w:val="54"/>
        </w:rPr>
        <w:t>四</w:t>
      </w:r>
      <w:r>
        <w:rPr>
          <w:rStyle w:val="54"/>
          <w:snapToGrid w:val="0"/>
        </w:rPr>
        <w:t>）、</w:t>
      </w:r>
      <w:r>
        <w:rPr>
          <w:rStyle w:val="54"/>
        </w:rPr>
        <w:t>项目验收方法和标准</w:t>
      </w:r>
      <w:r>
        <w:tab/>
      </w:r>
      <w:r>
        <w:fldChar w:fldCharType="begin"/>
      </w:r>
      <w:r>
        <w:instrText xml:space="preserve"> PAGEREF _Toc112257084 \h </w:instrText>
      </w:r>
      <w:r>
        <w:fldChar w:fldCharType="separate"/>
      </w:r>
      <w:r>
        <w:t>36</w:t>
      </w:r>
      <w:r>
        <w:fldChar w:fldCharType="end"/>
      </w:r>
      <w:r>
        <w:fldChar w:fldCharType="end"/>
      </w:r>
    </w:p>
    <w:p>
      <w:pPr>
        <w:pStyle w:val="25"/>
        <w:tabs>
          <w:tab w:val="right" w:leader="dot" w:pos="8835"/>
        </w:tabs>
        <w:rPr>
          <w:rFonts w:ascii="等线" w:hAnsi="等线" w:eastAsia="等线"/>
          <w:kern w:val="2"/>
          <w:sz w:val="21"/>
        </w:rPr>
      </w:pPr>
      <w:r>
        <w:fldChar w:fldCharType="begin"/>
      </w:r>
      <w:r>
        <w:instrText xml:space="preserve"> HYPERLINK \l "_Toc112257085" </w:instrText>
      </w:r>
      <w:r>
        <w:fldChar w:fldCharType="separate"/>
      </w:r>
      <w:r>
        <w:rPr>
          <w:rStyle w:val="54"/>
          <w:snapToGrid w:val="0"/>
        </w:rPr>
        <w:t>（</w:t>
      </w:r>
      <w:r>
        <w:rPr>
          <w:rStyle w:val="54"/>
        </w:rPr>
        <w:t>五</w:t>
      </w:r>
      <w:r>
        <w:rPr>
          <w:rStyle w:val="54"/>
          <w:snapToGrid w:val="0"/>
        </w:rPr>
        <w:t>）、</w:t>
      </w:r>
      <w:r>
        <w:rPr>
          <w:rStyle w:val="54"/>
        </w:rPr>
        <w:t>违约责任</w:t>
      </w:r>
      <w:r>
        <w:tab/>
      </w:r>
      <w:r>
        <w:fldChar w:fldCharType="begin"/>
      </w:r>
      <w:r>
        <w:instrText xml:space="preserve"> PAGEREF _Toc112257085 \h </w:instrText>
      </w:r>
      <w:r>
        <w:fldChar w:fldCharType="separate"/>
      </w:r>
      <w:r>
        <w:t>36</w:t>
      </w:r>
      <w:r>
        <w:fldChar w:fldCharType="end"/>
      </w:r>
      <w:r>
        <w:fldChar w:fldCharType="end"/>
      </w:r>
    </w:p>
    <w:p>
      <w:pPr>
        <w:pStyle w:val="33"/>
        <w:tabs>
          <w:tab w:val="right" w:leader="dot" w:pos="8835"/>
        </w:tabs>
        <w:rPr>
          <w:rFonts w:ascii="等线" w:hAnsi="等线" w:eastAsia="等线"/>
          <w:kern w:val="2"/>
          <w:sz w:val="21"/>
        </w:rPr>
      </w:pPr>
      <w:r>
        <w:fldChar w:fldCharType="begin"/>
      </w:r>
      <w:r>
        <w:instrText xml:space="preserve"> HYPERLINK \l "_Toc112257086" </w:instrText>
      </w:r>
      <w:r>
        <w:fldChar w:fldCharType="separate"/>
      </w:r>
      <w:r>
        <w:rPr>
          <w:rStyle w:val="54"/>
        </w:rPr>
        <w:t>第五章  评审办法</w:t>
      </w:r>
      <w:r>
        <w:tab/>
      </w:r>
      <w:r>
        <w:fldChar w:fldCharType="begin"/>
      </w:r>
      <w:r>
        <w:instrText xml:space="preserve"> PAGEREF _Toc112257086 \h </w:instrText>
      </w:r>
      <w:r>
        <w:fldChar w:fldCharType="separate"/>
      </w:r>
      <w:r>
        <w:t>38</w:t>
      </w:r>
      <w:r>
        <w:fldChar w:fldCharType="end"/>
      </w:r>
      <w:r>
        <w:fldChar w:fldCharType="end"/>
      </w:r>
    </w:p>
    <w:p>
      <w:pPr>
        <w:pStyle w:val="40"/>
        <w:tabs>
          <w:tab w:val="right" w:leader="dot" w:pos="8835"/>
        </w:tabs>
        <w:rPr>
          <w:rFonts w:ascii="等线" w:hAnsi="等线" w:eastAsia="等线"/>
          <w:kern w:val="2"/>
          <w:sz w:val="21"/>
        </w:rPr>
      </w:pPr>
      <w:r>
        <w:fldChar w:fldCharType="begin"/>
      </w:r>
      <w:r>
        <w:instrText xml:space="preserve"> HYPERLINK \l "_Toc112257087" </w:instrText>
      </w:r>
      <w:r>
        <w:fldChar w:fldCharType="separate"/>
      </w:r>
      <w:r>
        <w:rPr>
          <w:rStyle w:val="54"/>
        </w:rPr>
        <w:t>一、总则</w:t>
      </w:r>
      <w:r>
        <w:tab/>
      </w:r>
      <w:r>
        <w:fldChar w:fldCharType="begin"/>
      </w:r>
      <w:r>
        <w:instrText xml:space="preserve"> PAGEREF _Toc112257087 \h </w:instrText>
      </w:r>
      <w:r>
        <w:fldChar w:fldCharType="separate"/>
      </w:r>
      <w:r>
        <w:t>38</w:t>
      </w:r>
      <w:r>
        <w:fldChar w:fldCharType="end"/>
      </w:r>
      <w:r>
        <w:fldChar w:fldCharType="end"/>
      </w:r>
    </w:p>
    <w:p>
      <w:pPr>
        <w:pStyle w:val="40"/>
        <w:tabs>
          <w:tab w:val="right" w:leader="dot" w:pos="8835"/>
        </w:tabs>
        <w:rPr>
          <w:rFonts w:ascii="等线" w:hAnsi="等线" w:eastAsia="等线"/>
          <w:kern w:val="2"/>
          <w:sz w:val="21"/>
        </w:rPr>
      </w:pPr>
      <w:r>
        <w:fldChar w:fldCharType="begin"/>
      </w:r>
      <w:r>
        <w:instrText xml:space="preserve"> HYPERLINK \l "_Toc112257088" </w:instrText>
      </w:r>
      <w:r>
        <w:fldChar w:fldCharType="separate"/>
      </w:r>
      <w:r>
        <w:rPr>
          <w:rStyle w:val="54"/>
        </w:rPr>
        <w:t>二、评审方法</w:t>
      </w:r>
      <w:r>
        <w:tab/>
      </w:r>
      <w:r>
        <w:fldChar w:fldCharType="begin"/>
      </w:r>
      <w:r>
        <w:instrText xml:space="preserve"> PAGEREF _Toc112257088 \h </w:instrText>
      </w:r>
      <w:r>
        <w:fldChar w:fldCharType="separate"/>
      </w:r>
      <w:r>
        <w:t>38</w:t>
      </w:r>
      <w:r>
        <w:fldChar w:fldCharType="end"/>
      </w:r>
      <w:r>
        <w:fldChar w:fldCharType="end"/>
      </w:r>
    </w:p>
    <w:p>
      <w:pPr>
        <w:pStyle w:val="40"/>
        <w:tabs>
          <w:tab w:val="right" w:leader="dot" w:pos="8835"/>
        </w:tabs>
        <w:rPr>
          <w:rFonts w:ascii="等线" w:hAnsi="等线" w:eastAsia="等线"/>
          <w:kern w:val="2"/>
          <w:sz w:val="21"/>
        </w:rPr>
      </w:pPr>
      <w:r>
        <w:fldChar w:fldCharType="begin"/>
      </w:r>
      <w:r>
        <w:instrText xml:space="preserve"> HYPERLINK \l "_Toc112257089" </w:instrText>
      </w:r>
      <w:r>
        <w:fldChar w:fldCharType="separate"/>
      </w:r>
      <w:r>
        <w:rPr>
          <w:rStyle w:val="54"/>
        </w:rPr>
        <w:t>三、评标细则及标准</w:t>
      </w:r>
      <w:r>
        <w:tab/>
      </w:r>
      <w:r>
        <w:fldChar w:fldCharType="begin"/>
      </w:r>
      <w:r>
        <w:instrText xml:space="preserve"> PAGEREF _Toc112257089 \h </w:instrText>
      </w:r>
      <w:r>
        <w:fldChar w:fldCharType="separate"/>
      </w:r>
      <w:r>
        <w:t>38</w:t>
      </w:r>
      <w:r>
        <w:fldChar w:fldCharType="end"/>
      </w:r>
      <w:r>
        <w:fldChar w:fldCharType="end"/>
      </w:r>
    </w:p>
    <w:p>
      <w:pPr>
        <w:pStyle w:val="40"/>
        <w:tabs>
          <w:tab w:val="right" w:leader="dot" w:pos="8835"/>
        </w:tabs>
        <w:rPr>
          <w:rFonts w:ascii="等线" w:hAnsi="等线" w:eastAsia="等线"/>
          <w:kern w:val="2"/>
          <w:sz w:val="21"/>
        </w:rPr>
      </w:pPr>
      <w:r>
        <w:fldChar w:fldCharType="begin"/>
      </w:r>
      <w:r>
        <w:instrText xml:space="preserve"> HYPERLINK \l "_Toc112257090" </w:instrText>
      </w:r>
      <w:r>
        <w:fldChar w:fldCharType="separate"/>
      </w:r>
      <w:r>
        <w:rPr>
          <w:rStyle w:val="54"/>
        </w:rPr>
        <w:t>四、评选程序</w:t>
      </w:r>
      <w:r>
        <w:tab/>
      </w:r>
      <w:r>
        <w:fldChar w:fldCharType="begin"/>
      </w:r>
      <w:r>
        <w:instrText xml:space="preserve"> PAGEREF _Toc112257090 \h </w:instrText>
      </w:r>
      <w:r>
        <w:fldChar w:fldCharType="separate"/>
      </w:r>
      <w:r>
        <w:t>40</w:t>
      </w:r>
      <w:r>
        <w:fldChar w:fldCharType="end"/>
      </w:r>
      <w:r>
        <w:fldChar w:fldCharType="end"/>
      </w:r>
    </w:p>
    <w:p>
      <w:pPr>
        <w:pStyle w:val="40"/>
        <w:tabs>
          <w:tab w:val="right" w:leader="dot" w:pos="8835"/>
        </w:tabs>
        <w:rPr>
          <w:rFonts w:ascii="等线" w:hAnsi="等线" w:eastAsia="等线"/>
          <w:kern w:val="2"/>
          <w:sz w:val="21"/>
        </w:rPr>
      </w:pPr>
      <w:r>
        <w:fldChar w:fldCharType="begin"/>
      </w:r>
      <w:r>
        <w:instrText xml:space="preserve"> HYPERLINK \l "_Toc112257091" </w:instrText>
      </w:r>
      <w:r>
        <w:fldChar w:fldCharType="separate"/>
      </w:r>
      <w:r>
        <w:rPr>
          <w:rStyle w:val="54"/>
        </w:rPr>
        <w:t>五、评选结果</w:t>
      </w:r>
      <w:r>
        <w:tab/>
      </w:r>
      <w:r>
        <w:fldChar w:fldCharType="begin"/>
      </w:r>
      <w:r>
        <w:instrText xml:space="preserve"> PAGEREF _Toc112257091 \h </w:instrText>
      </w:r>
      <w:r>
        <w:fldChar w:fldCharType="separate"/>
      </w:r>
      <w:r>
        <w:t>40</w:t>
      </w:r>
      <w:r>
        <w:fldChar w:fldCharType="end"/>
      </w:r>
      <w:r>
        <w:fldChar w:fldCharType="end"/>
      </w:r>
    </w:p>
    <w:p>
      <w:pPr>
        <w:rPr>
          <w:rFonts w:ascii="宋体" w:hAnsi="宋体"/>
          <w:b/>
          <w:bCs/>
          <w:lang w:val="zh-CN"/>
        </w:rPr>
      </w:pPr>
      <w:r>
        <w:rPr>
          <w:rFonts w:ascii="宋体" w:hAnsi="宋体"/>
          <w:bCs/>
          <w:lang w:val="zh-CN"/>
        </w:rPr>
        <w:fldChar w:fldCharType="end"/>
      </w:r>
    </w:p>
    <w:p>
      <w:pPr>
        <w:rPr>
          <w:rFonts w:ascii="宋体" w:hAnsi="宋体"/>
          <w:b/>
          <w:bCs/>
          <w:lang w:val="zh-CN"/>
        </w:rPr>
      </w:pPr>
    </w:p>
    <w:p>
      <w:pPr>
        <w:pStyle w:val="43"/>
        <w:rPr>
          <w:rFonts w:ascii="宋体" w:hAnsi="宋体"/>
        </w:rPr>
      </w:pPr>
      <w:r>
        <w:rPr>
          <w:rFonts w:ascii="宋体" w:hAnsi="宋体"/>
          <w:lang w:val="zh-CN"/>
        </w:rPr>
        <w:br w:type="page"/>
      </w:r>
      <w:bookmarkStart w:id="3" w:name="_Toc512677514"/>
      <w:bookmarkStart w:id="4" w:name="_Toc112257042"/>
      <w:r>
        <w:rPr>
          <w:rFonts w:hint="eastAsia" w:ascii="宋体" w:hAnsi="宋体"/>
        </w:rPr>
        <w:t>第一章  磋商邀请</w:t>
      </w:r>
      <w:bookmarkEnd w:id="3"/>
      <w:bookmarkEnd w:id="4"/>
    </w:p>
    <w:p>
      <w:pPr>
        <w:rPr>
          <w:rFonts w:ascii="宋体" w:hAnsi="宋体"/>
          <w:b/>
          <w:sz w:val="36"/>
        </w:rPr>
      </w:pPr>
    </w:p>
    <w:p>
      <w:pPr>
        <w:adjustRightInd w:val="0"/>
        <w:snapToGrid w:val="0"/>
        <w:spacing w:line="360" w:lineRule="auto"/>
        <w:ind w:firstLine="480" w:firstLineChars="200"/>
        <w:rPr>
          <w:rFonts w:ascii="宋体" w:hAnsi="宋体"/>
          <w:sz w:val="24"/>
        </w:rPr>
      </w:pPr>
      <w:r>
        <w:rPr>
          <w:rFonts w:hint="eastAsia" w:ascii="宋体" w:hAnsi="宋体"/>
          <w:color w:val="000000"/>
          <w:sz w:val="24"/>
        </w:rPr>
        <w:t>四川省科源工程技术测试中心拟对本项目进行竞争性磋商采购，兹邀请国内符合本次竞争性磋商要求的供应商参加磋商。</w:t>
      </w:r>
    </w:p>
    <w:p>
      <w:pPr>
        <w:adjustRightInd w:val="0"/>
        <w:snapToGrid w:val="0"/>
        <w:spacing w:line="360" w:lineRule="auto"/>
        <w:ind w:firstLine="482" w:firstLineChars="200"/>
        <w:jc w:val="left"/>
        <w:rPr>
          <w:rFonts w:ascii="宋体" w:hAnsi="宋体" w:cs="宋体"/>
          <w:b/>
          <w:color w:val="FF0000"/>
          <w:sz w:val="24"/>
          <w:u w:val="single"/>
        </w:rPr>
      </w:pPr>
      <w:r>
        <w:rPr>
          <w:rFonts w:hint="eastAsia" w:ascii="宋体" w:hAnsi="宋体" w:cs="宋体"/>
          <w:b/>
          <w:bCs/>
          <w:sz w:val="24"/>
        </w:rPr>
        <w:t>一、</w:t>
      </w:r>
      <w:r>
        <w:rPr>
          <w:rFonts w:hint="eastAsia" w:ascii="宋体" w:hAnsi="宋体" w:cs="宋体"/>
          <w:b/>
          <w:sz w:val="24"/>
        </w:rPr>
        <w:t>项目名称:</w:t>
      </w:r>
      <w:r>
        <w:rPr>
          <w:rFonts w:hint="eastAsia" w:ascii="宋体" w:hAnsi="宋体"/>
          <w:b/>
          <w:bCs/>
          <w:sz w:val="24"/>
          <w:u w:val="single"/>
        </w:rPr>
        <w:t xml:space="preserve"> </w:t>
      </w:r>
      <w:r>
        <w:rPr>
          <w:rFonts w:hint="eastAsia" w:ascii="宋体" w:hAnsi="宋体"/>
          <w:b/>
          <w:bCs/>
          <w:sz w:val="24"/>
          <w:u w:val="single"/>
          <w:lang w:eastAsia="zh-CN"/>
        </w:rPr>
        <w:t>温江产学研基地（页岩气创新中心）</w:t>
      </w:r>
      <w:r>
        <w:rPr>
          <w:rFonts w:ascii="宋体" w:hAnsi="宋体"/>
          <w:b/>
          <w:bCs/>
          <w:sz w:val="24"/>
          <w:u w:val="single"/>
        </w:rPr>
        <w:t>UPS</w:t>
      </w:r>
      <w:r>
        <w:rPr>
          <w:rFonts w:hint="eastAsia" w:ascii="宋体" w:hAnsi="宋体"/>
          <w:b/>
          <w:bCs/>
          <w:sz w:val="24"/>
          <w:u w:val="single"/>
        </w:rPr>
        <w:t>不间断电源系统采购</w:t>
      </w:r>
    </w:p>
    <w:p>
      <w:pPr>
        <w:adjustRightInd w:val="0"/>
        <w:snapToGrid w:val="0"/>
        <w:spacing w:line="360" w:lineRule="auto"/>
        <w:ind w:right="31" w:rightChars="15" w:firstLine="482" w:firstLineChars="200"/>
        <w:rPr>
          <w:rFonts w:ascii="宋体" w:hAnsi="宋体" w:cs="宋体"/>
          <w:b/>
          <w:bCs/>
          <w:sz w:val="24"/>
        </w:rPr>
      </w:pPr>
      <w:r>
        <w:rPr>
          <w:rFonts w:hint="eastAsia" w:ascii="宋体" w:hAnsi="宋体" w:cs="宋体"/>
          <w:b/>
          <w:sz w:val="24"/>
        </w:rPr>
        <w:t>二、资金来源：</w:t>
      </w:r>
      <w:r>
        <w:rPr>
          <w:rFonts w:hint="eastAsia" w:ascii="宋体" w:hAnsi="宋体" w:cs="宋体"/>
          <w:b/>
          <w:color w:val="FF0000"/>
          <w:sz w:val="24"/>
          <w:u w:val="single"/>
        </w:rPr>
        <w:t>自筹资金</w:t>
      </w:r>
    </w:p>
    <w:p>
      <w:pPr>
        <w:adjustRightInd w:val="0"/>
        <w:snapToGrid w:val="0"/>
        <w:spacing w:line="360" w:lineRule="auto"/>
        <w:ind w:firstLine="482" w:firstLineChars="200"/>
        <w:rPr>
          <w:rFonts w:ascii="宋体" w:hAnsi="宋体" w:cs="宋体"/>
          <w:b/>
          <w:sz w:val="24"/>
        </w:rPr>
      </w:pPr>
      <w:r>
        <w:rPr>
          <w:rFonts w:hint="eastAsia" w:ascii="宋体" w:hAnsi="宋体" w:cs="宋体"/>
          <w:b/>
          <w:sz w:val="24"/>
        </w:rPr>
        <w:t>三</w:t>
      </w:r>
      <w:r>
        <w:rPr>
          <w:rFonts w:hint="eastAsia" w:ascii="宋体" w:hAnsi="宋体" w:cs="宋体"/>
          <w:b/>
          <w:bCs/>
          <w:sz w:val="24"/>
        </w:rPr>
        <w:t>、</w:t>
      </w:r>
      <w:r>
        <w:rPr>
          <w:rFonts w:hint="eastAsia" w:ascii="宋体" w:hAnsi="宋体" w:cs="宋体"/>
          <w:b/>
          <w:sz w:val="24"/>
        </w:rPr>
        <w:t>采购项目简介(详见第四章采购需求)：</w:t>
      </w:r>
    </w:p>
    <w:p>
      <w:pPr>
        <w:adjustRightInd w:val="0"/>
        <w:snapToGrid w:val="0"/>
        <w:spacing w:line="360" w:lineRule="auto"/>
        <w:ind w:firstLine="482" w:firstLineChars="200"/>
        <w:rPr>
          <w:rFonts w:ascii="宋体" w:hAnsi="宋体"/>
          <w:sz w:val="24"/>
        </w:rPr>
      </w:pPr>
      <w:r>
        <w:rPr>
          <w:rFonts w:hint="eastAsia" w:ascii="宋体" w:hAnsi="宋体"/>
          <w:b/>
          <w:sz w:val="24"/>
        </w:rPr>
        <w:t>1、采购内容:</w:t>
      </w:r>
      <w:r>
        <w:rPr>
          <w:rFonts w:hint="eastAsia" w:ascii="宋体" w:hAnsi="宋体" w:cs="仿宋_GB2312"/>
          <w:sz w:val="24"/>
        </w:rPr>
        <w:t xml:space="preserve"> </w:t>
      </w:r>
      <w:r>
        <w:rPr>
          <w:rFonts w:hint="eastAsia" w:ascii="宋体" w:hAnsi="宋体"/>
          <w:b/>
          <w:bCs/>
          <w:sz w:val="24"/>
          <w:u w:val="single"/>
          <w:lang w:eastAsia="zh-CN"/>
        </w:rPr>
        <w:t>温江产学研基地（页岩气创新中心）</w:t>
      </w:r>
      <w:r>
        <w:rPr>
          <w:rFonts w:ascii="宋体" w:hAnsi="宋体"/>
          <w:b/>
          <w:bCs/>
          <w:sz w:val="24"/>
          <w:u w:val="single"/>
        </w:rPr>
        <w:t>UPS</w:t>
      </w:r>
      <w:r>
        <w:rPr>
          <w:rFonts w:hint="eastAsia" w:ascii="宋体" w:hAnsi="宋体"/>
          <w:b/>
          <w:bCs/>
          <w:sz w:val="24"/>
          <w:u w:val="single"/>
        </w:rPr>
        <w:t>不间断电源系统采购项目</w:t>
      </w:r>
      <w:r>
        <w:rPr>
          <w:rFonts w:hint="eastAsia" w:ascii="宋体" w:hAnsi="宋体"/>
          <w:b/>
          <w:color w:val="FF0000"/>
          <w:sz w:val="24"/>
          <w:u w:val="single"/>
        </w:rPr>
        <w:t>，详见第四章采购需求。</w:t>
      </w:r>
    </w:p>
    <w:p>
      <w:pPr>
        <w:adjustRightInd w:val="0"/>
        <w:snapToGrid w:val="0"/>
        <w:spacing w:line="360" w:lineRule="auto"/>
        <w:ind w:firstLine="482" w:firstLineChars="200"/>
        <w:rPr>
          <w:rFonts w:ascii="宋体" w:hAnsi="宋体"/>
          <w:b/>
          <w:color w:val="FF0000"/>
          <w:sz w:val="24"/>
          <w:u w:val="single"/>
        </w:rPr>
      </w:pPr>
      <w:r>
        <w:rPr>
          <w:rFonts w:hint="eastAsia" w:ascii="宋体" w:hAnsi="宋体"/>
          <w:b/>
          <w:sz w:val="24"/>
        </w:rPr>
        <w:t>2、采购预算（最高限价）</w:t>
      </w:r>
      <w:r>
        <w:rPr>
          <w:rFonts w:hint="eastAsia" w:ascii="宋体" w:hAnsi="宋体"/>
          <w:b/>
          <w:color w:val="FF0000"/>
          <w:sz w:val="24"/>
          <w:u w:val="single"/>
        </w:rPr>
        <w:t>：</w:t>
      </w:r>
      <w:r>
        <w:rPr>
          <w:rFonts w:ascii="宋体" w:hAnsi="宋体"/>
          <w:b/>
          <w:color w:val="FF0000"/>
          <w:sz w:val="24"/>
          <w:highlight w:val="yellow"/>
          <w:u w:val="single"/>
        </w:rPr>
        <w:t>48</w:t>
      </w:r>
      <w:r>
        <w:rPr>
          <w:rFonts w:hint="eastAsia" w:ascii="宋体" w:hAnsi="宋体"/>
          <w:b/>
          <w:color w:val="FF0000"/>
          <w:sz w:val="24"/>
          <w:highlight w:val="yellow"/>
          <w:u w:val="single"/>
        </w:rPr>
        <w:t>万</w:t>
      </w:r>
      <w:r>
        <w:rPr>
          <w:rFonts w:hint="eastAsia" w:ascii="宋体" w:hAnsi="宋体"/>
          <w:b/>
          <w:color w:val="FF0000"/>
          <w:sz w:val="24"/>
          <w:u w:val="single"/>
        </w:rPr>
        <w:t>元。</w:t>
      </w:r>
    </w:p>
    <w:p>
      <w:pPr>
        <w:adjustRightInd w:val="0"/>
        <w:snapToGrid w:val="0"/>
        <w:spacing w:line="360" w:lineRule="auto"/>
        <w:ind w:firstLine="482" w:firstLineChars="200"/>
        <w:rPr>
          <w:rFonts w:ascii="宋体" w:hAnsi="宋体" w:cs="宋体"/>
          <w:b/>
          <w:color w:val="FF0000"/>
          <w:sz w:val="24"/>
          <w:u w:val="single"/>
        </w:rPr>
      </w:pPr>
      <w:r>
        <w:rPr>
          <w:rFonts w:hint="eastAsia" w:ascii="宋体" w:hAnsi="宋体"/>
          <w:b/>
          <w:sz w:val="24"/>
        </w:rPr>
        <w:t>3、工期：</w:t>
      </w:r>
      <w:r>
        <w:rPr>
          <w:rFonts w:hint="eastAsia" w:ascii="宋体" w:hAnsi="宋体" w:cs="宋体"/>
          <w:b/>
          <w:color w:val="FF0000"/>
          <w:sz w:val="24"/>
          <w:u w:val="single"/>
        </w:rPr>
        <w:t>签订合同</w:t>
      </w:r>
      <w:r>
        <w:rPr>
          <w:rFonts w:ascii="宋体" w:hAnsi="宋体" w:cs="宋体"/>
          <w:b/>
          <w:color w:val="00B0F0"/>
          <w:sz w:val="24"/>
          <w:highlight w:val="yellow"/>
          <w:u w:val="single"/>
        </w:rPr>
        <w:t>15</w:t>
      </w:r>
      <w:r>
        <w:rPr>
          <w:rFonts w:hint="eastAsia" w:ascii="宋体" w:hAnsi="宋体" w:cs="宋体"/>
          <w:b/>
          <w:color w:val="00B0F0"/>
          <w:sz w:val="24"/>
          <w:highlight w:val="yellow"/>
          <w:u w:val="single"/>
        </w:rPr>
        <w:t>个</w:t>
      </w:r>
      <w:r>
        <w:rPr>
          <w:rFonts w:hint="eastAsia" w:ascii="宋体" w:hAnsi="宋体" w:cs="宋体"/>
          <w:b/>
          <w:color w:val="FF0000"/>
          <w:sz w:val="24"/>
          <w:u w:val="single"/>
        </w:rPr>
        <w:t>工作日内。</w:t>
      </w:r>
    </w:p>
    <w:p>
      <w:pPr>
        <w:adjustRightInd w:val="0"/>
        <w:snapToGrid w:val="0"/>
        <w:spacing w:line="360" w:lineRule="auto"/>
        <w:ind w:firstLine="482" w:firstLineChars="200"/>
        <w:rPr>
          <w:rFonts w:ascii="宋体" w:hAnsi="宋体" w:cs="宋体"/>
          <w:b/>
          <w:color w:val="FF0000"/>
          <w:sz w:val="24"/>
          <w:u w:val="single"/>
        </w:rPr>
      </w:pPr>
      <w:r>
        <w:rPr>
          <w:rFonts w:hint="eastAsia" w:ascii="宋体" w:hAnsi="宋体"/>
          <w:b/>
          <w:sz w:val="24"/>
        </w:rPr>
        <w:t>4、实施（交货）地点：</w:t>
      </w:r>
      <w:r>
        <w:rPr>
          <w:rFonts w:hint="eastAsia" w:ascii="宋体" w:hAnsi="宋体" w:cs="宋体"/>
          <w:b/>
          <w:color w:val="FF0000"/>
          <w:sz w:val="24"/>
          <w:u w:val="single"/>
        </w:rPr>
        <w:t>采购人指定地点。</w:t>
      </w:r>
    </w:p>
    <w:p>
      <w:pPr>
        <w:tabs>
          <w:tab w:val="left" w:pos="0"/>
        </w:tabs>
        <w:adjustRightInd w:val="0"/>
        <w:snapToGrid w:val="0"/>
        <w:spacing w:line="360" w:lineRule="auto"/>
        <w:ind w:left="422" w:firstLine="200"/>
        <w:jc w:val="left"/>
        <w:rPr>
          <w:rFonts w:ascii="宋体" w:hAnsi="宋体"/>
          <w:b/>
          <w:sz w:val="24"/>
        </w:rPr>
      </w:pPr>
      <w:r>
        <w:rPr>
          <w:rFonts w:hint="eastAsia" w:ascii="宋体" w:hAnsi="宋体"/>
          <w:b/>
          <w:sz w:val="24"/>
        </w:rPr>
        <w:t>5、付款方式：</w:t>
      </w:r>
    </w:p>
    <w:p>
      <w:pPr>
        <w:tabs>
          <w:tab w:val="left" w:pos="0"/>
        </w:tabs>
        <w:adjustRightInd w:val="0"/>
        <w:snapToGrid w:val="0"/>
        <w:spacing w:line="360" w:lineRule="auto"/>
        <w:ind w:left="422" w:firstLine="200"/>
        <w:jc w:val="left"/>
        <w:rPr>
          <w:rFonts w:ascii="宋体" w:hAnsi="宋体"/>
          <w:bCs/>
          <w:sz w:val="24"/>
        </w:rPr>
      </w:pPr>
      <w:r>
        <w:rPr>
          <w:rFonts w:hint="eastAsia" w:ascii="宋体" w:hAnsi="宋体"/>
          <w:bCs/>
          <w:sz w:val="24"/>
        </w:rPr>
        <w:t>1. 交货验收：货物全部到达安装地点，经清单无误后并签署到货验收单，采购方接到供应商提供的与合同清单一致的发票后的1</w:t>
      </w:r>
      <w:r>
        <w:rPr>
          <w:rFonts w:ascii="宋体" w:hAnsi="宋体"/>
          <w:bCs/>
          <w:sz w:val="24"/>
        </w:rPr>
        <w:t>5</w:t>
      </w:r>
      <w:r>
        <w:rPr>
          <w:rFonts w:hint="eastAsia" w:ascii="宋体" w:hAnsi="宋体"/>
          <w:bCs/>
          <w:sz w:val="24"/>
        </w:rPr>
        <w:t>日内支付合同金额的7</w:t>
      </w:r>
      <w:r>
        <w:rPr>
          <w:rFonts w:ascii="宋体" w:hAnsi="宋体"/>
          <w:bCs/>
          <w:sz w:val="24"/>
        </w:rPr>
        <w:t>0</w:t>
      </w:r>
      <w:r>
        <w:rPr>
          <w:rFonts w:hint="eastAsia" w:ascii="宋体" w:hAnsi="宋体"/>
          <w:bCs/>
          <w:sz w:val="24"/>
        </w:rPr>
        <w:t>%；</w:t>
      </w:r>
    </w:p>
    <w:p>
      <w:pPr>
        <w:tabs>
          <w:tab w:val="left" w:pos="0"/>
        </w:tabs>
        <w:adjustRightInd w:val="0"/>
        <w:snapToGrid w:val="0"/>
        <w:spacing w:line="360" w:lineRule="auto"/>
        <w:ind w:left="422" w:firstLine="200"/>
        <w:jc w:val="left"/>
        <w:rPr>
          <w:rFonts w:ascii="宋体" w:hAnsi="宋体"/>
          <w:bCs/>
          <w:sz w:val="24"/>
        </w:rPr>
      </w:pPr>
      <w:r>
        <w:rPr>
          <w:rFonts w:ascii="宋体" w:hAnsi="宋体"/>
          <w:bCs/>
          <w:sz w:val="24"/>
        </w:rPr>
        <w:t>2.</w:t>
      </w:r>
      <w:r>
        <w:rPr>
          <w:rFonts w:hint="eastAsia" w:ascii="宋体" w:hAnsi="宋体"/>
          <w:bCs/>
          <w:sz w:val="24"/>
        </w:rPr>
        <w:t>综合验收：安装调试完毕运作1</w:t>
      </w:r>
      <w:r>
        <w:rPr>
          <w:rFonts w:ascii="宋体" w:hAnsi="宋体"/>
          <w:bCs/>
          <w:sz w:val="24"/>
        </w:rPr>
        <w:t>5</w:t>
      </w:r>
      <w:r>
        <w:rPr>
          <w:rFonts w:hint="eastAsia" w:ascii="宋体" w:hAnsi="宋体"/>
          <w:bCs/>
          <w:sz w:val="24"/>
        </w:rPr>
        <w:t>日并经综合验收合格后，采购方接到供应商提供的与合同清单一致的发票后的1</w:t>
      </w:r>
      <w:r>
        <w:rPr>
          <w:rFonts w:ascii="宋体" w:hAnsi="宋体"/>
          <w:bCs/>
          <w:sz w:val="24"/>
        </w:rPr>
        <w:t>5</w:t>
      </w:r>
      <w:r>
        <w:rPr>
          <w:rFonts w:hint="eastAsia" w:ascii="宋体" w:hAnsi="宋体"/>
          <w:bCs/>
          <w:sz w:val="24"/>
        </w:rPr>
        <w:t>日内支付合同价款的2</w:t>
      </w:r>
      <w:r>
        <w:rPr>
          <w:rFonts w:ascii="宋体" w:hAnsi="宋体"/>
          <w:bCs/>
          <w:sz w:val="24"/>
        </w:rPr>
        <w:t>7</w:t>
      </w:r>
      <w:r>
        <w:rPr>
          <w:rFonts w:hint="eastAsia" w:ascii="宋体" w:hAnsi="宋体"/>
          <w:bCs/>
          <w:sz w:val="24"/>
        </w:rPr>
        <w:t>%；</w:t>
      </w:r>
    </w:p>
    <w:p>
      <w:pPr>
        <w:tabs>
          <w:tab w:val="left" w:pos="0"/>
        </w:tabs>
        <w:adjustRightInd w:val="0"/>
        <w:snapToGrid w:val="0"/>
        <w:spacing w:line="360" w:lineRule="auto"/>
        <w:ind w:left="422" w:firstLine="200"/>
        <w:jc w:val="left"/>
        <w:rPr>
          <w:rFonts w:ascii="宋体" w:hAnsi="宋体"/>
          <w:bCs/>
          <w:sz w:val="24"/>
        </w:rPr>
      </w:pPr>
      <w:r>
        <w:rPr>
          <w:rFonts w:ascii="宋体" w:hAnsi="宋体"/>
          <w:bCs/>
          <w:sz w:val="24"/>
        </w:rPr>
        <w:t>3</w:t>
      </w:r>
      <w:r>
        <w:rPr>
          <w:rFonts w:hint="eastAsia" w:ascii="宋体" w:hAnsi="宋体"/>
          <w:bCs/>
          <w:sz w:val="24"/>
        </w:rPr>
        <w:t>.剩余合同价款作为质保金，在设备安全稳定运行</w:t>
      </w:r>
      <w:r>
        <w:rPr>
          <w:rFonts w:ascii="宋体" w:hAnsi="宋体"/>
          <w:bCs/>
          <w:sz w:val="24"/>
        </w:rPr>
        <w:t>12</w:t>
      </w:r>
      <w:r>
        <w:rPr>
          <w:rFonts w:hint="eastAsia" w:ascii="宋体" w:hAnsi="宋体"/>
          <w:bCs/>
          <w:sz w:val="24"/>
        </w:rPr>
        <w:t xml:space="preserve">个月后一次性支付至供应商。 </w:t>
      </w:r>
    </w:p>
    <w:p>
      <w:pPr>
        <w:tabs>
          <w:tab w:val="left" w:pos="0"/>
        </w:tabs>
        <w:adjustRightInd w:val="0"/>
        <w:snapToGrid w:val="0"/>
        <w:spacing w:line="360" w:lineRule="auto"/>
        <w:ind w:left="420" w:firstLine="200"/>
        <w:jc w:val="left"/>
        <w:rPr>
          <w:rFonts w:ascii="宋体" w:hAnsi="宋体" w:cs="宋体"/>
          <w:b/>
          <w:color w:val="FF0000"/>
          <w:sz w:val="24"/>
          <w:u w:val="single"/>
        </w:rPr>
      </w:pPr>
      <w:r>
        <w:rPr>
          <w:rFonts w:ascii="宋体" w:hAnsi="宋体"/>
          <w:bCs/>
          <w:sz w:val="24"/>
        </w:rPr>
        <w:t>4</w:t>
      </w:r>
      <w:r>
        <w:rPr>
          <w:rFonts w:hint="eastAsia" w:ascii="宋体" w:hAnsi="宋体"/>
          <w:bCs/>
          <w:sz w:val="24"/>
        </w:rPr>
        <w:t>.供应商须向采购方出具合法有效完整的增值税发票及凭证资料进行支付结算。</w:t>
      </w:r>
    </w:p>
    <w:p>
      <w:pPr>
        <w:adjustRightInd w:val="0"/>
        <w:snapToGrid w:val="0"/>
        <w:spacing w:line="360" w:lineRule="auto"/>
        <w:ind w:firstLine="482" w:firstLineChars="200"/>
        <w:rPr>
          <w:rFonts w:ascii="宋体" w:hAnsi="宋体"/>
          <w:b/>
          <w:bCs/>
          <w:sz w:val="24"/>
        </w:rPr>
      </w:pPr>
      <w:r>
        <w:rPr>
          <w:rFonts w:hint="eastAsia" w:ascii="宋体" w:hAnsi="宋体"/>
          <w:b/>
          <w:bCs/>
          <w:sz w:val="24"/>
        </w:rPr>
        <w:t>四、供应商参与本次磋商</w:t>
      </w:r>
      <w:r>
        <w:rPr>
          <w:rFonts w:ascii="宋体" w:hAnsi="宋体"/>
          <w:b/>
          <w:bCs/>
          <w:sz w:val="24"/>
        </w:rPr>
        <w:t>采购</w:t>
      </w:r>
      <w:r>
        <w:rPr>
          <w:rFonts w:hint="eastAsia" w:ascii="宋体" w:hAnsi="宋体"/>
          <w:b/>
          <w:bCs/>
          <w:sz w:val="24"/>
        </w:rPr>
        <w:t>应当具备《中华人民共和国采购法》第二十二条规定及本项目特定条件：</w:t>
      </w:r>
    </w:p>
    <w:p>
      <w:pPr>
        <w:spacing w:line="360" w:lineRule="auto"/>
        <w:ind w:firstLine="480" w:firstLineChars="200"/>
        <w:rPr>
          <w:rFonts w:ascii="宋体" w:hAnsi="宋体"/>
          <w:bCs/>
          <w:sz w:val="24"/>
        </w:rPr>
      </w:pPr>
      <w:r>
        <w:rPr>
          <w:rFonts w:hint="eastAsia" w:ascii="宋体" w:hAnsi="宋体"/>
          <w:bCs/>
          <w:sz w:val="24"/>
        </w:rPr>
        <w:t>投标人必须符合《中华人民共和国政府采购法》第二十二条规定的供应商条件。</w:t>
      </w:r>
    </w:p>
    <w:p>
      <w:pPr>
        <w:spacing w:line="360" w:lineRule="auto"/>
        <w:ind w:firstLine="480" w:firstLineChars="200"/>
        <w:rPr>
          <w:rFonts w:ascii="宋体" w:hAnsi="宋体"/>
          <w:bCs/>
          <w:sz w:val="24"/>
        </w:rPr>
      </w:pPr>
      <w:bookmarkStart w:id="5" w:name="_Hlk112252047"/>
      <w:r>
        <w:rPr>
          <w:rFonts w:hint="eastAsia" w:ascii="宋体" w:hAnsi="宋体"/>
          <w:bCs/>
          <w:sz w:val="24"/>
        </w:rPr>
        <w:t>1、具有独立承担民事责任的能力；</w:t>
      </w:r>
    </w:p>
    <w:p>
      <w:pPr>
        <w:spacing w:line="360" w:lineRule="auto"/>
        <w:ind w:firstLine="480" w:firstLineChars="200"/>
        <w:rPr>
          <w:rFonts w:ascii="宋体" w:hAnsi="宋体"/>
          <w:bCs/>
          <w:sz w:val="24"/>
        </w:rPr>
      </w:pPr>
      <w:r>
        <w:rPr>
          <w:rFonts w:hint="eastAsia" w:ascii="宋体" w:hAnsi="宋体"/>
          <w:bCs/>
          <w:sz w:val="24"/>
        </w:rPr>
        <w:t>2、具有良好的商业信誉和健全的财务会计制度；</w:t>
      </w:r>
    </w:p>
    <w:p>
      <w:pPr>
        <w:spacing w:line="360" w:lineRule="auto"/>
        <w:ind w:firstLine="480" w:firstLineChars="200"/>
        <w:rPr>
          <w:rFonts w:ascii="宋体" w:hAnsi="宋体"/>
          <w:bCs/>
          <w:sz w:val="24"/>
        </w:rPr>
      </w:pPr>
      <w:r>
        <w:rPr>
          <w:rFonts w:hint="eastAsia" w:ascii="宋体" w:hAnsi="宋体"/>
          <w:bCs/>
          <w:sz w:val="24"/>
        </w:rPr>
        <w:t>3、具有履行合同所必需的设备和专业技术能力；</w:t>
      </w:r>
    </w:p>
    <w:p>
      <w:pPr>
        <w:spacing w:line="360" w:lineRule="auto"/>
        <w:ind w:firstLine="480" w:firstLineChars="200"/>
        <w:rPr>
          <w:rFonts w:ascii="宋体" w:hAnsi="宋体"/>
          <w:bCs/>
          <w:sz w:val="24"/>
        </w:rPr>
      </w:pPr>
      <w:r>
        <w:rPr>
          <w:rFonts w:hint="eastAsia" w:ascii="宋体" w:hAnsi="宋体"/>
          <w:bCs/>
          <w:sz w:val="24"/>
        </w:rPr>
        <w:t>4、具有依法缴纳税收和社会保障资金的良好记录；</w:t>
      </w:r>
    </w:p>
    <w:p>
      <w:pPr>
        <w:spacing w:line="360" w:lineRule="auto"/>
        <w:ind w:firstLine="480" w:firstLineChars="200"/>
        <w:rPr>
          <w:rFonts w:ascii="宋体" w:hAnsi="宋体"/>
          <w:bCs/>
          <w:sz w:val="24"/>
        </w:rPr>
      </w:pPr>
      <w:r>
        <w:rPr>
          <w:rFonts w:hint="eastAsia" w:ascii="宋体" w:hAnsi="宋体"/>
          <w:bCs/>
          <w:sz w:val="24"/>
        </w:rPr>
        <w:t>5、参加本次政府采购活动前三年内，在经营活动中没有重大违法记录；</w:t>
      </w:r>
    </w:p>
    <w:p>
      <w:pPr>
        <w:spacing w:line="360" w:lineRule="auto"/>
        <w:ind w:firstLine="480" w:firstLineChars="200"/>
        <w:rPr>
          <w:rFonts w:ascii="宋体" w:hAnsi="宋体"/>
          <w:bCs/>
          <w:sz w:val="24"/>
        </w:rPr>
      </w:pPr>
      <w:r>
        <w:rPr>
          <w:rFonts w:hint="eastAsia" w:ascii="宋体" w:hAnsi="宋体"/>
          <w:bCs/>
          <w:sz w:val="24"/>
        </w:rPr>
        <w:t>6、符合法律、行政法规规定的其他条件：</w:t>
      </w:r>
    </w:p>
    <w:p>
      <w:pPr>
        <w:spacing w:line="360" w:lineRule="auto"/>
        <w:ind w:firstLine="480" w:firstLineChars="200"/>
        <w:rPr>
          <w:rFonts w:ascii="宋体" w:hAnsi="宋体"/>
          <w:bCs/>
          <w:sz w:val="24"/>
        </w:rPr>
      </w:pPr>
      <w:r>
        <w:rPr>
          <w:rFonts w:hint="eastAsia" w:ascii="宋体" w:hAnsi="宋体"/>
          <w:bCs/>
          <w:sz w:val="24"/>
        </w:rPr>
        <w:t>本项目参加政府采购活动的供应商需提供单位及其现任法定代表人/主要负责人/单位负责人不具有行贿犯罪记录的声明函；</w:t>
      </w:r>
    </w:p>
    <w:p>
      <w:pPr>
        <w:spacing w:line="360" w:lineRule="auto"/>
        <w:ind w:firstLine="480" w:firstLineChars="200"/>
        <w:rPr>
          <w:rFonts w:ascii="宋体" w:hAnsi="宋体"/>
          <w:bCs/>
          <w:sz w:val="24"/>
        </w:rPr>
      </w:pPr>
      <w:r>
        <w:rPr>
          <w:rFonts w:hint="eastAsia" w:ascii="宋体" w:hAnsi="宋体"/>
          <w:bCs/>
          <w:sz w:val="24"/>
        </w:rPr>
        <w:t>7、根据采购项目提出的特殊条件：无。</w:t>
      </w:r>
    </w:p>
    <w:bookmarkEnd w:id="5"/>
    <w:p>
      <w:pPr>
        <w:spacing w:line="360" w:lineRule="auto"/>
        <w:ind w:firstLine="482" w:firstLineChars="200"/>
        <w:rPr>
          <w:rFonts w:ascii="宋体" w:hAnsi="宋体"/>
          <w:b/>
          <w:sz w:val="24"/>
        </w:rPr>
      </w:pPr>
      <w:r>
        <w:rPr>
          <w:rFonts w:hint="eastAsia" w:ascii="宋体" w:hAnsi="宋体"/>
          <w:b/>
          <w:sz w:val="24"/>
        </w:rPr>
        <w:t>五、禁止参加本次采购活动的供应商</w:t>
      </w:r>
    </w:p>
    <w:p>
      <w:pPr>
        <w:spacing w:line="360" w:lineRule="auto"/>
        <w:ind w:firstLine="480" w:firstLineChars="200"/>
        <w:rPr>
          <w:rFonts w:ascii="宋体" w:hAnsi="宋体"/>
          <w:sz w:val="24"/>
        </w:rPr>
      </w:pPr>
      <w:bookmarkStart w:id="6" w:name="PO_默认文件内容_4"/>
      <w:r>
        <w:rPr>
          <w:rFonts w:hint="eastAsia" w:ascii="宋体" w:hAnsi="宋体"/>
          <w:sz w:val="24"/>
        </w:rPr>
        <w:t>采购人将通过科源测试中心官网http://sckycs.com/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bookmarkEnd w:id="6"/>
    <w:p>
      <w:pPr>
        <w:adjustRightInd w:val="0"/>
        <w:snapToGrid w:val="0"/>
        <w:spacing w:line="360" w:lineRule="auto"/>
        <w:ind w:firstLine="482" w:firstLineChars="200"/>
        <w:rPr>
          <w:rFonts w:ascii="宋体" w:hAnsi="宋体" w:cs="宋体"/>
          <w:b/>
          <w:kern w:val="0"/>
          <w:sz w:val="24"/>
        </w:rPr>
      </w:pPr>
      <w:r>
        <w:rPr>
          <w:rFonts w:hint="eastAsia" w:ascii="宋体" w:hAnsi="宋体"/>
          <w:b/>
          <w:sz w:val="24"/>
        </w:rPr>
        <w:t>六、</w:t>
      </w:r>
      <w:r>
        <w:rPr>
          <w:rFonts w:hint="eastAsia" w:ascii="宋体" w:hAnsi="宋体" w:cs="宋体"/>
          <w:b/>
          <w:kern w:val="0"/>
          <w:sz w:val="24"/>
        </w:rPr>
        <w:t>供应商报名方式：</w:t>
      </w:r>
    </w:p>
    <w:p>
      <w:pPr>
        <w:pStyle w:val="553"/>
        <w:adjustRightInd w:val="0"/>
        <w:snapToGrid w:val="0"/>
        <w:ind w:firstLine="480"/>
        <w:rPr>
          <w:rFonts w:ascii="宋体" w:hAnsi="宋体"/>
          <w:sz w:val="24"/>
        </w:rPr>
      </w:pPr>
      <w:r>
        <w:rPr>
          <w:rFonts w:hint="eastAsia" w:ascii="宋体" w:hAnsi="宋体"/>
          <w:sz w:val="24"/>
        </w:rPr>
        <w:t>供应商根据四川省科源工程技术测试中心网站（http://www.sckycs.com/）的竞争性磋商公告要求，通过发送电子邮件（keyuanceshi@163.com）或现场（</w:t>
      </w:r>
      <w:r>
        <w:rPr>
          <w:rFonts w:hint="eastAsia" w:ascii="宋体" w:hAnsi="宋体"/>
          <w:b/>
          <w:sz w:val="24"/>
        </w:rPr>
        <w:t>成都市</w:t>
      </w:r>
      <w:r>
        <w:rPr>
          <w:rFonts w:hint="eastAsia" w:ascii="宋体" w:hAnsi="宋体"/>
          <w:b/>
          <w:bCs/>
          <w:sz w:val="24"/>
        </w:rPr>
        <w:t>温江区科惠路</w:t>
      </w:r>
      <w:r>
        <w:rPr>
          <w:rFonts w:hint="eastAsia" w:ascii="宋体" w:hAnsi="宋体"/>
          <w:b/>
          <w:bCs/>
          <w:sz w:val="24"/>
          <w:lang w:eastAsia="zh-CN"/>
        </w:rPr>
        <w:t>一段</w:t>
      </w:r>
      <w:r>
        <w:rPr>
          <w:rFonts w:hint="eastAsia" w:ascii="宋体" w:hAnsi="宋体"/>
          <w:b/>
          <w:bCs/>
          <w:sz w:val="24"/>
        </w:rPr>
        <w:t>9</w:t>
      </w:r>
      <w:r>
        <w:rPr>
          <w:rFonts w:ascii="宋体" w:hAnsi="宋体"/>
          <w:b/>
          <w:bCs/>
          <w:sz w:val="24"/>
        </w:rPr>
        <w:t>19号</w:t>
      </w:r>
      <w:r>
        <w:rPr>
          <w:rFonts w:hint="eastAsia" w:ascii="宋体" w:hAnsi="宋体"/>
          <w:b/>
          <w:bCs/>
          <w:sz w:val="24"/>
          <w:lang w:val="en-US" w:eastAsia="zh-CN"/>
        </w:rPr>
        <w:t>1号楼606室</w:t>
      </w:r>
      <w:r>
        <w:rPr>
          <w:rFonts w:hint="eastAsia" w:ascii="宋体" w:hAnsi="宋体"/>
          <w:b/>
          <w:bCs/>
          <w:sz w:val="24"/>
        </w:rPr>
        <w:t>，科源测试中心</w:t>
      </w:r>
      <w:r>
        <w:rPr>
          <w:rFonts w:hint="eastAsia" w:ascii="宋体" w:hAnsi="宋体"/>
          <w:b/>
          <w:bCs/>
          <w:sz w:val="24"/>
          <w:lang w:eastAsia="zh-CN"/>
        </w:rPr>
        <w:t>办公室</w:t>
      </w:r>
      <w:r>
        <w:rPr>
          <w:rFonts w:hint="eastAsia" w:ascii="宋体" w:hAnsi="宋体"/>
          <w:sz w:val="24"/>
        </w:rPr>
        <w:t>）提交报名资料形式报</w:t>
      </w:r>
      <w:r>
        <w:rPr>
          <w:rFonts w:hint="eastAsia" w:ascii="宋体" w:hAnsi="宋体"/>
          <w:sz w:val="24"/>
          <w:lang w:eastAsia="zh-CN"/>
        </w:rPr>
        <w:t>名</w:t>
      </w:r>
      <w:r>
        <w:rPr>
          <w:rFonts w:hint="eastAsia" w:ascii="宋体" w:hAnsi="宋体"/>
          <w:sz w:val="24"/>
        </w:rPr>
        <w:t>，报名截止时间为2022年</w:t>
      </w:r>
      <w:r>
        <w:rPr>
          <w:rFonts w:ascii="宋体" w:hAnsi="宋体"/>
          <w:sz w:val="24"/>
        </w:rPr>
        <w:t>8</w:t>
      </w:r>
      <w:r>
        <w:rPr>
          <w:rFonts w:hint="eastAsia" w:ascii="宋体" w:hAnsi="宋体"/>
          <w:sz w:val="24"/>
        </w:rPr>
        <w:t>月3</w:t>
      </w:r>
      <w:r>
        <w:rPr>
          <w:rFonts w:ascii="宋体" w:hAnsi="宋体"/>
          <w:sz w:val="24"/>
        </w:rPr>
        <w:t>1</w:t>
      </w:r>
      <w:r>
        <w:rPr>
          <w:rFonts w:hint="eastAsia" w:ascii="宋体" w:hAnsi="宋体"/>
          <w:sz w:val="24"/>
        </w:rPr>
        <w:t>日下午17：00。</w:t>
      </w:r>
      <w:bookmarkStart w:id="312" w:name="_GoBack"/>
      <w:bookmarkEnd w:id="312"/>
    </w:p>
    <w:p>
      <w:pPr>
        <w:adjustRightInd w:val="0"/>
        <w:snapToGrid w:val="0"/>
        <w:spacing w:line="360" w:lineRule="auto"/>
        <w:ind w:firstLine="482" w:firstLineChars="200"/>
        <w:rPr>
          <w:rFonts w:ascii="宋体" w:hAnsi="宋体"/>
          <w:b/>
          <w:sz w:val="24"/>
        </w:rPr>
      </w:pPr>
      <w:r>
        <w:rPr>
          <w:rFonts w:hint="eastAsia" w:ascii="宋体" w:hAnsi="宋体"/>
          <w:b/>
          <w:sz w:val="24"/>
        </w:rPr>
        <w:t>七、磋商文件获取方式：</w:t>
      </w:r>
    </w:p>
    <w:p>
      <w:pPr>
        <w:adjustRightInd w:val="0"/>
        <w:snapToGrid w:val="0"/>
        <w:spacing w:line="360" w:lineRule="auto"/>
        <w:ind w:firstLine="480" w:firstLineChars="200"/>
        <w:rPr>
          <w:rFonts w:ascii="宋体" w:hAnsi="宋体"/>
          <w:sz w:val="24"/>
        </w:rPr>
      </w:pPr>
      <w:r>
        <w:rPr>
          <w:rFonts w:hint="eastAsia" w:ascii="宋体" w:hAnsi="宋体"/>
          <w:sz w:val="24"/>
        </w:rPr>
        <w:t>请在四川省科源工程技术测试中心网站（http://www.sckycs.com/）自行下载，如出现磋商文件有修改或采购变动的，在磋商截止时间前注意自行查收（</w:t>
      </w:r>
      <w:r>
        <w:rPr>
          <w:rFonts w:hint="eastAsia" w:ascii="宋体" w:hAnsi="宋体"/>
          <w:snapToGrid w:val="0"/>
          <w:color w:val="FF0000"/>
          <w:kern w:val="0"/>
          <w:sz w:val="24"/>
        </w:rPr>
        <w:t>因供应商未及时查收更正公告内容而造成损失的，由供应商自行承担）</w:t>
      </w:r>
      <w:r>
        <w:rPr>
          <w:rFonts w:hint="eastAsia" w:ascii="宋体" w:hAnsi="宋体"/>
          <w:sz w:val="24"/>
        </w:rPr>
        <w:t>。</w:t>
      </w:r>
    </w:p>
    <w:p>
      <w:pPr>
        <w:adjustRightInd w:val="0"/>
        <w:snapToGrid w:val="0"/>
        <w:spacing w:line="360" w:lineRule="auto"/>
        <w:ind w:firstLine="482" w:firstLineChars="200"/>
        <w:jc w:val="left"/>
        <w:textAlignment w:val="baseline"/>
        <w:rPr>
          <w:rFonts w:ascii="宋体" w:hAnsi="宋体"/>
          <w:color w:val="000000"/>
          <w:sz w:val="24"/>
        </w:rPr>
      </w:pPr>
      <w:r>
        <w:rPr>
          <w:rFonts w:hint="eastAsia" w:ascii="宋体" w:hAnsi="宋体"/>
          <w:b/>
          <w:sz w:val="24"/>
        </w:rPr>
        <w:t>八、响应文件</w:t>
      </w:r>
      <w:r>
        <w:rPr>
          <w:rFonts w:ascii="宋体" w:hAnsi="宋体"/>
          <w:b/>
          <w:sz w:val="24"/>
        </w:rPr>
        <w:t>递交</w:t>
      </w:r>
      <w:r>
        <w:rPr>
          <w:rFonts w:hint="eastAsia" w:ascii="宋体" w:hAnsi="宋体"/>
          <w:b/>
          <w:sz w:val="24"/>
        </w:rPr>
        <w:t>截止时间：</w:t>
      </w:r>
      <w:r>
        <w:rPr>
          <w:rFonts w:hint="eastAsia" w:ascii="宋体" w:hAnsi="宋体"/>
          <w:b/>
          <w:color w:val="FF0000"/>
          <w:sz w:val="24"/>
          <w:u w:val="single"/>
        </w:rPr>
        <w:t>2022年</w:t>
      </w:r>
      <w:r>
        <w:rPr>
          <w:rFonts w:ascii="宋体" w:hAnsi="宋体"/>
          <w:b/>
          <w:color w:val="FF0000"/>
          <w:sz w:val="24"/>
          <w:u w:val="single"/>
        </w:rPr>
        <w:t>9</w:t>
      </w:r>
      <w:r>
        <w:rPr>
          <w:rFonts w:hint="eastAsia" w:ascii="宋体" w:hAnsi="宋体"/>
          <w:b/>
          <w:color w:val="FF0000"/>
          <w:sz w:val="24"/>
          <w:u w:val="single"/>
        </w:rPr>
        <w:t>月</w:t>
      </w:r>
      <w:r>
        <w:rPr>
          <w:rFonts w:ascii="宋体" w:hAnsi="宋体"/>
          <w:b/>
          <w:color w:val="FF0000"/>
          <w:sz w:val="24"/>
          <w:u w:val="single"/>
        </w:rPr>
        <w:t>7</w:t>
      </w:r>
      <w:r>
        <w:rPr>
          <w:rFonts w:hint="eastAsia" w:ascii="宋体" w:hAnsi="宋体"/>
          <w:b/>
          <w:color w:val="FF0000"/>
          <w:sz w:val="24"/>
          <w:u w:val="single"/>
        </w:rPr>
        <w:t>日上午</w:t>
      </w:r>
      <w:r>
        <w:rPr>
          <w:rFonts w:ascii="宋体" w:hAnsi="宋体"/>
          <w:b/>
          <w:bCs/>
          <w:sz w:val="24"/>
        </w:rPr>
        <w:t>10</w:t>
      </w:r>
      <w:r>
        <w:rPr>
          <w:rFonts w:hint="eastAsia" w:ascii="宋体" w:hAnsi="宋体"/>
          <w:b/>
          <w:bCs/>
          <w:sz w:val="24"/>
        </w:rPr>
        <w:t>：</w:t>
      </w:r>
      <w:r>
        <w:rPr>
          <w:rFonts w:ascii="宋体" w:hAnsi="宋体"/>
          <w:b/>
          <w:bCs/>
          <w:sz w:val="24"/>
        </w:rPr>
        <w:t>3</w:t>
      </w:r>
      <w:r>
        <w:rPr>
          <w:rFonts w:hint="eastAsia" w:ascii="宋体" w:hAnsi="宋体"/>
          <w:b/>
          <w:bCs/>
          <w:sz w:val="24"/>
        </w:rPr>
        <w:t>0</w:t>
      </w:r>
      <w:r>
        <w:rPr>
          <w:rFonts w:hint="eastAsia" w:ascii="宋体" w:hAnsi="宋体"/>
          <w:sz w:val="24"/>
        </w:rPr>
        <w:t>（北京</w:t>
      </w:r>
      <w:r>
        <w:rPr>
          <w:rFonts w:hint="eastAsia" w:ascii="宋体" w:hAnsi="宋体"/>
          <w:color w:val="000000"/>
          <w:sz w:val="24"/>
        </w:rPr>
        <w:t>时间）。逾期送达的响应文件不予接收。本次采购</w:t>
      </w:r>
      <w:r>
        <w:rPr>
          <w:rFonts w:ascii="宋体" w:hAnsi="宋体"/>
          <w:color w:val="000000"/>
          <w:sz w:val="24"/>
        </w:rPr>
        <w:t>活动，</w:t>
      </w:r>
      <w:r>
        <w:rPr>
          <w:rFonts w:hint="eastAsia" w:ascii="宋体" w:hAnsi="宋体"/>
          <w:color w:val="000000"/>
          <w:sz w:val="24"/>
        </w:rPr>
        <w:t>响应</w:t>
      </w:r>
      <w:r>
        <w:rPr>
          <w:rFonts w:ascii="宋体" w:hAnsi="宋体"/>
          <w:color w:val="000000"/>
          <w:sz w:val="24"/>
        </w:rPr>
        <w:t>文件的递交方式为</w:t>
      </w:r>
      <w:r>
        <w:rPr>
          <w:rFonts w:hint="eastAsia" w:ascii="宋体" w:hAnsi="宋体"/>
          <w:color w:val="000000"/>
          <w:sz w:val="24"/>
        </w:rPr>
        <w:t>现场递交或邮寄</w:t>
      </w:r>
      <w:r>
        <w:rPr>
          <w:rFonts w:ascii="宋体" w:hAnsi="宋体"/>
          <w:color w:val="000000"/>
          <w:sz w:val="24"/>
        </w:rPr>
        <w:t>，采购人</w:t>
      </w:r>
      <w:r>
        <w:rPr>
          <w:rFonts w:hint="eastAsia" w:ascii="宋体" w:hAnsi="宋体"/>
          <w:color w:val="000000"/>
          <w:sz w:val="24"/>
        </w:rPr>
        <w:t>不接受所指定递交方式之外的其他方式递交响应</w:t>
      </w:r>
      <w:r>
        <w:rPr>
          <w:rFonts w:ascii="宋体" w:hAnsi="宋体"/>
          <w:color w:val="000000"/>
          <w:sz w:val="24"/>
        </w:rPr>
        <w:t>文件</w:t>
      </w:r>
      <w:r>
        <w:rPr>
          <w:rFonts w:hint="eastAsia" w:ascii="宋体" w:hAnsi="宋体"/>
          <w:color w:val="000000"/>
          <w:sz w:val="24"/>
        </w:rPr>
        <w:t>。</w:t>
      </w:r>
    </w:p>
    <w:p>
      <w:pPr>
        <w:adjustRightInd w:val="0"/>
        <w:snapToGrid w:val="0"/>
        <w:spacing w:line="360" w:lineRule="auto"/>
        <w:ind w:firstLine="482" w:firstLineChars="200"/>
        <w:jc w:val="left"/>
        <w:textAlignment w:val="baseline"/>
        <w:rPr>
          <w:rFonts w:ascii="宋体" w:hAnsi="宋体"/>
          <w:color w:val="000000"/>
          <w:sz w:val="24"/>
        </w:rPr>
      </w:pPr>
      <w:r>
        <w:rPr>
          <w:rFonts w:hint="eastAsia" w:ascii="宋体" w:hAnsi="宋体"/>
          <w:b/>
          <w:sz w:val="24"/>
        </w:rPr>
        <w:t>九、响应文件</w:t>
      </w:r>
      <w:r>
        <w:rPr>
          <w:rFonts w:ascii="宋体" w:hAnsi="宋体"/>
          <w:b/>
          <w:sz w:val="24"/>
        </w:rPr>
        <w:t>递交</w:t>
      </w:r>
      <w:r>
        <w:rPr>
          <w:rFonts w:hint="eastAsia" w:ascii="宋体" w:hAnsi="宋体"/>
          <w:b/>
          <w:sz w:val="24"/>
        </w:rPr>
        <w:t>地点：</w:t>
      </w:r>
      <w:r>
        <w:rPr>
          <w:rFonts w:hint="eastAsia" w:ascii="宋体" w:hAnsi="宋体"/>
          <w:sz w:val="24"/>
        </w:rPr>
        <w:t>（</w:t>
      </w:r>
      <w:r>
        <w:rPr>
          <w:rFonts w:hint="eastAsia" w:ascii="宋体" w:hAnsi="宋体"/>
          <w:b/>
          <w:sz w:val="24"/>
        </w:rPr>
        <w:t>成都市</w:t>
      </w:r>
      <w:r>
        <w:rPr>
          <w:rFonts w:hint="eastAsia" w:ascii="宋体" w:hAnsi="宋体"/>
          <w:b/>
          <w:bCs/>
          <w:sz w:val="24"/>
        </w:rPr>
        <w:t>温江区科惠路</w:t>
      </w:r>
      <w:r>
        <w:rPr>
          <w:rFonts w:hint="eastAsia" w:ascii="宋体" w:hAnsi="宋体"/>
          <w:b/>
          <w:bCs/>
          <w:sz w:val="24"/>
          <w:lang w:eastAsia="zh-CN"/>
        </w:rPr>
        <w:t>一段</w:t>
      </w:r>
      <w:r>
        <w:rPr>
          <w:rFonts w:hint="eastAsia" w:ascii="宋体" w:hAnsi="宋体"/>
          <w:b/>
          <w:bCs/>
          <w:sz w:val="24"/>
        </w:rPr>
        <w:t>9</w:t>
      </w:r>
      <w:r>
        <w:rPr>
          <w:rFonts w:ascii="宋体" w:hAnsi="宋体"/>
          <w:b/>
          <w:bCs/>
          <w:sz w:val="24"/>
        </w:rPr>
        <w:t>19号</w:t>
      </w:r>
      <w:r>
        <w:rPr>
          <w:rFonts w:hint="eastAsia" w:ascii="宋体" w:hAnsi="宋体"/>
          <w:b/>
          <w:bCs/>
          <w:sz w:val="24"/>
          <w:lang w:val="en-US" w:eastAsia="zh-CN"/>
        </w:rPr>
        <w:t>1号楼606室</w:t>
      </w:r>
      <w:r>
        <w:rPr>
          <w:rFonts w:hint="eastAsia" w:ascii="宋体" w:hAnsi="宋体"/>
          <w:b/>
          <w:bCs/>
          <w:sz w:val="24"/>
        </w:rPr>
        <w:t>，科源测试中心</w:t>
      </w:r>
      <w:r>
        <w:rPr>
          <w:rFonts w:hint="eastAsia" w:ascii="宋体" w:hAnsi="宋体"/>
          <w:b/>
          <w:bCs/>
          <w:sz w:val="24"/>
          <w:lang w:eastAsia="zh-CN"/>
        </w:rPr>
        <w:t>办公室</w:t>
      </w:r>
      <w:r>
        <w:rPr>
          <w:rFonts w:hint="eastAsia" w:ascii="宋体" w:hAnsi="宋体"/>
          <w:sz w:val="24"/>
        </w:rPr>
        <w:t>）</w:t>
      </w:r>
    </w:p>
    <w:p>
      <w:pPr>
        <w:adjustRightInd w:val="0"/>
        <w:snapToGrid w:val="0"/>
        <w:spacing w:line="360" w:lineRule="auto"/>
        <w:ind w:firstLine="472" w:firstLineChars="196"/>
        <w:rPr>
          <w:rFonts w:ascii="宋体" w:hAnsi="宋体"/>
          <w:b/>
          <w:sz w:val="24"/>
        </w:rPr>
      </w:pPr>
      <w:r>
        <w:rPr>
          <w:rFonts w:hint="eastAsia" w:ascii="宋体" w:hAnsi="宋体"/>
          <w:b/>
          <w:sz w:val="24"/>
        </w:rPr>
        <w:t>十、评审开始时间：</w:t>
      </w:r>
      <w:r>
        <w:rPr>
          <w:rFonts w:hint="eastAsia" w:ascii="宋体" w:hAnsi="宋体"/>
          <w:b/>
          <w:color w:val="FF0000"/>
          <w:sz w:val="24"/>
          <w:u w:val="single"/>
        </w:rPr>
        <w:t>2022年</w:t>
      </w:r>
      <w:r>
        <w:rPr>
          <w:rFonts w:ascii="宋体" w:hAnsi="宋体"/>
          <w:b/>
          <w:color w:val="FF0000"/>
          <w:sz w:val="24"/>
          <w:u w:val="single"/>
        </w:rPr>
        <w:t>9</w:t>
      </w:r>
      <w:r>
        <w:rPr>
          <w:rFonts w:hint="eastAsia" w:ascii="宋体" w:hAnsi="宋体"/>
          <w:b/>
          <w:color w:val="FF0000"/>
          <w:sz w:val="24"/>
          <w:u w:val="single"/>
        </w:rPr>
        <w:t>月</w:t>
      </w:r>
      <w:r>
        <w:rPr>
          <w:rFonts w:ascii="宋体" w:hAnsi="宋体"/>
          <w:b/>
          <w:color w:val="FF0000"/>
          <w:sz w:val="24"/>
          <w:u w:val="single"/>
        </w:rPr>
        <w:t>7</w:t>
      </w:r>
      <w:r>
        <w:rPr>
          <w:rFonts w:hint="eastAsia" w:ascii="宋体" w:hAnsi="宋体"/>
          <w:b/>
          <w:color w:val="FF0000"/>
          <w:sz w:val="24"/>
          <w:u w:val="single"/>
        </w:rPr>
        <w:t>日上午</w:t>
      </w:r>
      <w:r>
        <w:rPr>
          <w:rFonts w:ascii="宋体" w:hAnsi="宋体"/>
          <w:b/>
          <w:bCs/>
          <w:sz w:val="24"/>
        </w:rPr>
        <w:t>11</w:t>
      </w:r>
      <w:r>
        <w:rPr>
          <w:rFonts w:hint="eastAsia" w:ascii="宋体" w:hAnsi="宋体"/>
          <w:b/>
          <w:bCs/>
          <w:sz w:val="24"/>
        </w:rPr>
        <w:t>:00时</w:t>
      </w:r>
      <w:r>
        <w:rPr>
          <w:rFonts w:hint="eastAsia" w:ascii="宋体" w:hAnsi="宋体"/>
          <w:sz w:val="24"/>
        </w:rPr>
        <w:t>；</w:t>
      </w:r>
      <w:r>
        <w:rPr>
          <w:rFonts w:hint="eastAsia" w:ascii="宋体" w:hAnsi="宋体"/>
          <w:b/>
          <w:sz w:val="24"/>
        </w:rPr>
        <w:t>评审地点：</w:t>
      </w:r>
      <w:r>
        <w:rPr>
          <w:rFonts w:hint="eastAsia" w:ascii="宋体" w:hAnsi="宋体"/>
          <w:color w:val="000000"/>
          <w:sz w:val="24"/>
        </w:rPr>
        <w:t>科源测试中心会议室</w:t>
      </w:r>
      <w:r>
        <w:rPr>
          <w:rFonts w:hint="eastAsia" w:ascii="宋体" w:hAnsi="宋体"/>
          <w:sz w:val="24"/>
        </w:rPr>
        <w:t>。</w:t>
      </w:r>
    </w:p>
    <w:p>
      <w:pPr>
        <w:adjustRightInd w:val="0"/>
        <w:snapToGrid w:val="0"/>
        <w:spacing w:line="360" w:lineRule="auto"/>
        <w:ind w:firstLine="472" w:firstLineChars="196"/>
        <w:rPr>
          <w:rFonts w:ascii="宋体" w:hAnsi="宋体"/>
          <w:b/>
          <w:sz w:val="24"/>
        </w:rPr>
      </w:pPr>
      <w:r>
        <w:rPr>
          <w:rFonts w:hint="eastAsia" w:ascii="宋体" w:hAnsi="宋体"/>
          <w:b/>
          <w:sz w:val="24"/>
        </w:rPr>
        <w:t>十一、联系方式</w:t>
      </w:r>
    </w:p>
    <w:p>
      <w:pPr>
        <w:pStyle w:val="553"/>
        <w:adjustRightInd w:val="0"/>
        <w:snapToGrid w:val="0"/>
        <w:ind w:firstLine="482"/>
        <w:rPr>
          <w:rFonts w:ascii="宋体" w:hAnsi="宋体"/>
          <w:b/>
          <w:color w:val="FF0000"/>
          <w:sz w:val="24"/>
          <w:u w:val="single"/>
        </w:rPr>
      </w:pPr>
      <w:r>
        <w:rPr>
          <w:rFonts w:hint="eastAsia" w:ascii="宋体" w:hAnsi="宋体"/>
          <w:b/>
          <w:sz w:val="24"/>
        </w:rPr>
        <w:t>采购人：</w:t>
      </w:r>
      <w:r>
        <w:rPr>
          <w:rFonts w:hint="eastAsia" w:ascii="宋体" w:hAnsi="宋体"/>
          <w:b/>
          <w:color w:val="FF0000"/>
          <w:sz w:val="24"/>
          <w:u w:val="single"/>
        </w:rPr>
        <w:t xml:space="preserve"> 四川省科源工程技术测试中心 </w:t>
      </w:r>
    </w:p>
    <w:p>
      <w:pPr>
        <w:pStyle w:val="553"/>
        <w:adjustRightInd w:val="0"/>
        <w:snapToGrid w:val="0"/>
        <w:ind w:firstLine="482"/>
        <w:rPr>
          <w:rFonts w:ascii="宋体" w:hAnsi="宋体"/>
          <w:b/>
          <w:color w:val="FF0000"/>
          <w:sz w:val="24"/>
          <w:u w:val="single"/>
        </w:rPr>
      </w:pPr>
      <w:r>
        <w:rPr>
          <w:rFonts w:hint="eastAsia" w:ascii="宋体" w:hAnsi="宋体"/>
          <w:b/>
          <w:sz w:val="24"/>
        </w:rPr>
        <w:t>地  址：成都市</w:t>
      </w:r>
      <w:r>
        <w:rPr>
          <w:rFonts w:hint="eastAsia" w:ascii="宋体" w:hAnsi="宋体"/>
          <w:b/>
          <w:bCs/>
          <w:sz w:val="24"/>
        </w:rPr>
        <w:t>温江区科惠路</w:t>
      </w:r>
      <w:r>
        <w:rPr>
          <w:rFonts w:hint="eastAsia" w:ascii="宋体" w:hAnsi="宋体"/>
          <w:b/>
          <w:bCs/>
          <w:sz w:val="24"/>
          <w:lang w:eastAsia="zh-CN"/>
        </w:rPr>
        <w:t>一段</w:t>
      </w:r>
      <w:r>
        <w:rPr>
          <w:rFonts w:hint="eastAsia" w:ascii="宋体" w:hAnsi="宋体"/>
          <w:b/>
          <w:bCs/>
          <w:sz w:val="24"/>
        </w:rPr>
        <w:t>9</w:t>
      </w:r>
      <w:r>
        <w:rPr>
          <w:rFonts w:ascii="宋体" w:hAnsi="宋体"/>
          <w:b/>
          <w:bCs/>
          <w:sz w:val="24"/>
        </w:rPr>
        <w:t>19号</w:t>
      </w:r>
      <w:r>
        <w:rPr>
          <w:rFonts w:hint="eastAsia" w:ascii="宋体" w:hAnsi="宋体"/>
          <w:b/>
          <w:bCs/>
          <w:sz w:val="24"/>
          <w:lang w:val="en-US" w:eastAsia="zh-CN"/>
        </w:rPr>
        <w:t>1号楼</w:t>
      </w:r>
    </w:p>
    <w:p>
      <w:pPr>
        <w:pStyle w:val="553"/>
        <w:adjustRightInd w:val="0"/>
        <w:snapToGrid w:val="0"/>
        <w:ind w:firstLine="482"/>
        <w:rPr>
          <w:rFonts w:ascii="宋体" w:hAnsi="宋体"/>
          <w:b/>
          <w:color w:val="FF0000"/>
          <w:sz w:val="24"/>
          <w:u w:val="single"/>
        </w:rPr>
      </w:pPr>
      <w:r>
        <w:rPr>
          <w:rFonts w:hint="eastAsia" w:ascii="宋体" w:hAnsi="宋体"/>
          <w:b/>
          <w:sz w:val="24"/>
        </w:rPr>
        <w:t>联系人：</w:t>
      </w:r>
      <w:r>
        <w:rPr>
          <w:rFonts w:hint="eastAsia" w:ascii="宋体" w:hAnsi="宋体"/>
          <w:b/>
          <w:color w:val="FF0000"/>
          <w:sz w:val="24"/>
          <w:u w:val="single"/>
        </w:rPr>
        <w:t xml:space="preserve">罗女士 </w:t>
      </w:r>
    </w:p>
    <w:p>
      <w:pPr>
        <w:pStyle w:val="553"/>
        <w:adjustRightInd w:val="0"/>
        <w:snapToGrid w:val="0"/>
        <w:ind w:firstLine="482"/>
        <w:rPr>
          <w:rFonts w:hint="default" w:ascii="宋体" w:hAnsi="宋体" w:eastAsia="宋体"/>
          <w:b/>
          <w:color w:val="FF0000"/>
          <w:sz w:val="24"/>
          <w:u w:val="single"/>
          <w:lang w:val="en-US" w:eastAsia="zh-CN"/>
        </w:rPr>
      </w:pPr>
      <w:r>
        <w:rPr>
          <w:rFonts w:hint="eastAsia" w:ascii="宋体" w:hAnsi="宋体"/>
          <w:b/>
          <w:sz w:val="24"/>
        </w:rPr>
        <w:t>联系电话</w:t>
      </w:r>
      <w:r>
        <w:rPr>
          <w:rFonts w:hint="eastAsia" w:ascii="宋体" w:hAnsi="宋体"/>
          <w:sz w:val="24"/>
        </w:rPr>
        <w:t>：</w:t>
      </w:r>
      <w:r>
        <w:rPr>
          <w:rFonts w:hint="eastAsia" w:ascii="宋体" w:hAnsi="宋体"/>
          <w:b/>
          <w:color w:val="FF0000"/>
          <w:sz w:val="24"/>
          <w:u w:val="single"/>
        </w:rPr>
        <w:t>028-61509600</w:t>
      </w:r>
      <w:r>
        <w:rPr>
          <w:rFonts w:hint="eastAsia" w:ascii="宋体" w:hAnsi="宋体"/>
          <w:b/>
          <w:color w:val="FF0000"/>
          <w:sz w:val="24"/>
          <w:u w:val="single"/>
          <w:lang w:val="en-US" w:eastAsia="zh-CN"/>
        </w:rPr>
        <w:t xml:space="preserve">  </w:t>
      </w:r>
    </w:p>
    <w:p>
      <w:pPr>
        <w:pStyle w:val="43"/>
        <w:rPr>
          <w:rFonts w:ascii="宋体" w:hAnsi="宋体"/>
        </w:rPr>
      </w:pPr>
      <w:bookmarkStart w:id="7" w:name="_Toc213396759"/>
      <w:bookmarkStart w:id="8" w:name="_Toc213496267"/>
      <w:bookmarkStart w:id="9" w:name="_Toc213397009"/>
      <w:bookmarkStart w:id="10" w:name="_Toc217446031"/>
      <w:bookmarkStart w:id="11" w:name="_Toc213396945"/>
      <w:r>
        <w:rPr>
          <w:rFonts w:ascii="宋体" w:hAnsi="宋体"/>
          <w:szCs w:val="21"/>
          <w:u w:val="single"/>
        </w:rPr>
        <w:br w:type="page"/>
      </w:r>
      <w:bookmarkStart w:id="12" w:name="_Toc512677515"/>
      <w:bookmarkStart w:id="13" w:name="_Toc112257043"/>
      <w:r>
        <w:rPr>
          <w:rFonts w:hint="eastAsia" w:ascii="宋体" w:hAnsi="宋体"/>
        </w:rPr>
        <w:t>第二章  供应商须知</w:t>
      </w:r>
      <w:bookmarkEnd w:id="12"/>
      <w:bookmarkEnd w:id="13"/>
    </w:p>
    <w:p>
      <w:pPr>
        <w:pStyle w:val="5"/>
        <w:rPr>
          <w:rFonts w:ascii="宋体" w:hAnsi="宋体"/>
        </w:rPr>
      </w:pPr>
      <w:bookmarkStart w:id="14" w:name="_Toc512677516"/>
      <w:bookmarkStart w:id="15" w:name="_Toc112257044"/>
      <w:r>
        <w:rPr>
          <w:rFonts w:hint="eastAsia" w:ascii="宋体" w:hAnsi="宋体"/>
        </w:rPr>
        <w:t>一、供应商须知前附表</w:t>
      </w:r>
      <w:bookmarkEnd w:id="14"/>
      <w:bookmarkEnd w:id="15"/>
    </w:p>
    <w:tbl>
      <w:tblPr>
        <w:tblStyle w:val="47"/>
        <w:tblpPr w:leftFromText="180" w:rightFromText="180" w:vertAnchor="text" w:horzAnchor="margin" w:tblpX="-421" w:tblpY="695"/>
        <w:tblW w:w="9946"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989"/>
        <w:gridCol w:w="1486"/>
        <w:gridCol w:w="7471"/>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blHeader/>
        </w:trPr>
        <w:tc>
          <w:tcPr>
            <w:tcW w:w="989" w:type="dxa"/>
            <w:vAlign w:val="center"/>
          </w:tcPr>
          <w:p>
            <w:pPr>
              <w:pStyle w:val="635"/>
              <w:snapToGrid w:val="0"/>
              <w:spacing w:line="360" w:lineRule="auto"/>
              <w:ind w:left="9"/>
              <w:jc w:val="center"/>
              <w:rPr>
                <w:rFonts w:cs="Times New Roman"/>
                <w:kern w:val="2"/>
                <w:sz w:val="21"/>
                <w:szCs w:val="21"/>
              </w:rPr>
            </w:pPr>
            <w:r>
              <w:rPr>
                <w:rFonts w:hint="eastAsia" w:cs="Times New Roman"/>
                <w:kern w:val="2"/>
                <w:sz w:val="21"/>
                <w:szCs w:val="21"/>
              </w:rPr>
              <w:t>序号</w:t>
            </w:r>
          </w:p>
        </w:tc>
        <w:tc>
          <w:tcPr>
            <w:tcW w:w="1486" w:type="dxa"/>
            <w:vAlign w:val="center"/>
          </w:tcPr>
          <w:p>
            <w:pPr>
              <w:pStyle w:val="635"/>
              <w:snapToGrid w:val="0"/>
              <w:spacing w:line="360" w:lineRule="auto"/>
              <w:ind w:left="38"/>
              <w:jc w:val="center"/>
              <w:rPr>
                <w:rFonts w:cs="Times New Roman"/>
                <w:kern w:val="2"/>
                <w:sz w:val="21"/>
                <w:szCs w:val="21"/>
              </w:rPr>
            </w:pPr>
            <w:r>
              <w:rPr>
                <w:rFonts w:hint="eastAsia" w:cs="Times New Roman"/>
                <w:kern w:val="2"/>
                <w:sz w:val="21"/>
                <w:szCs w:val="21"/>
              </w:rPr>
              <w:t>条款名称</w:t>
            </w:r>
          </w:p>
        </w:tc>
        <w:tc>
          <w:tcPr>
            <w:tcW w:w="7471" w:type="dxa"/>
            <w:vAlign w:val="center"/>
          </w:tcPr>
          <w:p>
            <w:pPr>
              <w:pStyle w:val="635"/>
              <w:snapToGrid w:val="0"/>
              <w:spacing w:line="360" w:lineRule="auto"/>
              <w:jc w:val="center"/>
              <w:rPr>
                <w:rFonts w:cs="Times New Roman"/>
                <w:kern w:val="2"/>
                <w:sz w:val="21"/>
                <w:szCs w:val="21"/>
              </w:rPr>
            </w:pPr>
            <w:r>
              <w:rPr>
                <w:rFonts w:hint="eastAsia" w:cs="Times New Roman"/>
                <w:kern w:val="2"/>
                <w:sz w:val="21"/>
                <w:szCs w:val="21"/>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2" w:hRule="atLeast"/>
        </w:trPr>
        <w:tc>
          <w:tcPr>
            <w:tcW w:w="989" w:type="dxa"/>
            <w:tcBorders>
              <w:bottom w:val="single" w:color="auto" w:sz="4" w:space="0"/>
            </w:tcBorders>
            <w:vAlign w:val="center"/>
          </w:tcPr>
          <w:p>
            <w:pPr>
              <w:pStyle w:val="635"/>
              <w:snapToGrid w:val="0"/>
              <w:spacing w:line="360" w:lineRule="auto"/>
              <w:ind w:right="230"/>
              <w:jc w:val="center"/>
              <w:rPr>
                <w:rFonts w:cs="Times New Roman"/>
                <w:kern w:val="2"/>
                <w:sz w:val="21"/>
                <w:szCs w:val="21"/>
              </w:rPr>
            </w:pPr>
            <w:r>
              <w:rPr>
                <w:rFonts w:cs="Times New Roman"/>
                <w:kern w:val="2"/>
                <w:sz w:val="21"/>
                <w:szCs w:val="21"/>
              </w:rPr>
              <w:t>1</w:t>
            </w:r>
          </w:p>
        </w:tc>
        <w:tc>
          <w:tcPr>
            <w:tcW w:w="1486" w:type="dxa"/>
            <w:tcBorders>
              <w:bottom w:val="single" w:color="auto" w:sz="4" w:space="0"/>
            </w:tcBorders>
            <w:vAlign w:val="center"/>
          </w:tcPr>
          <w:p>
            <w:pPr>
              <w:pStyle w:val="635"/>
              <w:snapToGrid w:val="0"/>
              <w:spacing w:line="360" w:lineRule="auto"/>
              <w:jc w:val="center"/>
              <w:rPr>
                <w:rFonts w:cs="Times New Roman"/>
                <w:kern w:val="2"/>
                <w:sz w:val="21"/>
                <w:szCs w:val="21"/>
              </w:rPr>
            </w:pPr>
            <w:r>
              <w:rPr>
                <w:rFonts w:hint="eastAsia" w:cs="Times New Roman"/>
                <w:kern w:val="2"/>
                <w:sz w:val="21"/>
                <w:szCs w:val="21"/>
              </w:rPr>
              <w:t>最高限价</w:t>
            </w:r>
          </w:p>
        </w:tc>
        <w:tc>
          <w:tcPr>
            <w:tcW w:w="7471" w:type="dxa"/>
            <w:tcBorders>
              <w:bottom w:val="single" w:color="auto" w:sz="4" w:space="0"/>
            </w:tcBorders>
          </w:tcPr>
          <w:p>
            <w:pPr>
              <w:adjustRightInd w:val="0"/>
              <w:snapToGrid w:val="0"/>
              <w:spacing w:line="360" w:lineRule="auto"/>
              <w:ind w:right="31" w:rightChars="15" w:firstLine="420" w:firstLineChars="200"/>
              <w:rPr>
                <w:rFonts w:ascii="宋体" w:hAnsi="宋体"/>
                <w:szCs w:val="21"/>
              </w:rPr>
            </w:pPr>
            <w:r>
              <w:rPr>
                <w:rFonts w:hint="eastAsia" w:ascii="宋体" w:hAnsi="宋体"/>
                <w:szCs w:val="21"/>
              </w:rPr>
              <w:t>最高限价</w:t>
            </w:r>
            <w:r>
              <w:rPr>
                <w:rFonts w:ascii="宋体" w:hAnsi="宋体"/>
                <w:b/>
                <w:bCs/>
                <w:color w:val="FF0000"/>
                <w:szCs w:val="21"/>
                <w:u w:val="single"/>
              </w:rPr>
              <w:t>48</w:t>
            </w:r>
            <w:r>
              <w:rPr>
                <w:rFonts w:hint="eastAsia" w:ascii="宋体" w:hAnsi="宋体"/>
                <w:b/>
                <w:bCs/>
                <w:color w:val="FF0000"/>
                <w:szCs w:val="21"/>
                <w:u w:val="single"/>
              </w:rPr>
              <w:t>万元</w:t>
            </w:r>
            <w:r>
              <w:rPr>
                <w:rFonts w:hint="eastAsia" w:ascii="宋体" w:hAnsi="宋体"/>
                <w:szCs w:val="21"/>
              </w:rPr>
              <w:t>；</w:t>
            </w:r>
          </w:p>
          <w:p>
            <w:pPr>
              <w:pStyle w:val="635"/>
              <w:snapToGrid w:val="0"/>
              <w:spacing w:line="360" w:lineRule="auto"/>
              <w:ind w:firstLine="420" w:firstLineChars="200"/>
              <w:jc w:val="both"/>
              <w:rPr>
                <w:rFonts w:cs="Times New Roman"/>
                <w:kern w:val="2"/>
                <w:sz w:val="21"/>
                <w:szCs w:val="21"/>
              </w:rPr>
            </w:pPr>
            <w:r>
              <w:rPr>
                <w:rFonts w:hint="eastAsia" w:cs="Times New Roman"/>
                <w:kern w:val="2"/>
                <w:sz w:val="21"/>
                <w:szCs w:val="21"/>
              </w:rPr>
              <w:t>超过最高限价的响应文件作无效处理。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5" w:hRule="atLeast"/>
        </w:trPr>
        <w:tc>
          <w:tcPr>
            <w:tcW w:w="989" w:type="dxa"/>
            <w:vAlign w:val="center"/>
          </w:tcPr>
          <w:p>
            <w:pPr>
              <w:pStyle w:val="635"/>
              <w:snapToGrid w:val="0"/>
              <w:spacing w:line="360" w:lineRule="auto"/>
              <w:ind w:right="230"/>
              <w:jc w:val="center"/>
              <w:rPr>
                <w:rFonts w:cs="Times New Roman"/>
                <w:kern w:val="2"/>
                <w:sz w:val="21"/>
                <w:szCs w:val="21"/>
              </w:rPr>
            </w:pPr>
            <w:r>
              <w:rPr>
                <w:rFonts w:cs="Times New Roman"/>
                <w:kern w:val="2"/>
                <w:sz w:val="21"/>
                <w:szCs w:val="21"/>
              </w:rPr>
              <w:t>2</w:t>
            </w:r>
          </w:p>
        </w:tc>
        <w:tc>
          <w:tcPr>
            <w:tcW w:w="1486" w:type="dxa"/>
            <w:vAlign w:val="center"/>
          </w:tcPr>
          <w:p>
            <w:pPr>
              <w:pStyle w:val="635"/>
              <w:snapToGrid w:val="0"/>
              <w:spacing w:line="360" w:lineRule="auto"/>
              <w:ind w:left="38"/>
              <w:jc w:val="center"/>
              <w:rPr>
                <w:rFonts w:cs="Times New Roman"/>
                <w:kern w:val="2"/>
                <w:sz w:val="21"/>
                <w:szCs w:val="21"/>
              </w:rPr>
            </w:pPr>
            <w:r>
              <w:rPr>
                <w:rFonts w:hint="eastAsia" w:cs="Times New Roman"/>
                <w:kern w:val="2"/>
                <w:sz w:val="21"/>
                <w:szCs w:val="21"/>
              </w:rPr>
              <w:t>是否接受联合体投标</w:t>
            </w:r>
          </w:p>
        </w:tc>
        <w:tc>
          <w:tcPr>
            <w:tcW w:w="7471" w:type="dxa"/>
            <w:vAlign w:val="center"/>
          </w:tcPr>
          <w:p>
            <w:pPr>
              <w:pStyle w:val="553"/>
              <w:adjustRightInd w:val="0"/>
              <w:snapToGrid w:val="0"/>
              <w:ind w:firstLine="525" w:firstLineChars="250"/>
              <w:rPr>
                <w:rFonts w:ascii="宋体" w:hAnsi="宋体"/>
                <w:szCs w:val="21"/>
              </w:rPr>
            </w:pPr>
            <w:r>
              <w:rPr>
                <w:rFonts w:hint="eastAsia" w:ascii="宋体" w:hAnsi="宋体"/>
                <w:szCs w:val="21"/>
              </w:rPr>
              <w:t>采购人</w:t>
            </w:r>
            <w:r>
              <w:rPr>
                <w:rFonts w:hint="eastAsia" w:ascii="宋体" w:hAnsi="宋体"/>
                <w:color w:val="FF0000"/>
                <w:szCs w:val="21"/>
                <w:u w:val="single"/>
              </w:rPr>
              <w:t>不接受</w:t>
            </w:r>
            <w:r>
              <w:rPr>
                <w:rFonts w:hint="eastAsia" w:ascii="宋体" w:hAnsi="宋体"/>
                <w:szCs w:val="21"/>
              </w:rPr>
              <w:t>联合体参加。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989" w:type="dxa"/>
            <w:vAlign w:val="center"/>
          </w:tcPr>
          <w:p>
            <w:pPr>
              <w:pStyle w:val="635"/>
              <w:snapToGrid w:val="0"/>
              <w:spacing w:line="360" w:lineRule="auto"/>
              <w:ind w:right="230"/>
              <w:jc w:val="center"/>
              <w:rPr>
                <w:rFonts w:cs="Times New Roman"/>
                <w:kern w:val="2"/>
                <w:sz w:val="21"/>
                <w:szCs w:val="21"/>
              </w:rPr>
            </w:pPr>
            <w:r>
              <w:rPr>
                <w:rFonts w:hint="eastAsia" w:cs="Times New Roman"/>
                <w:kern w:val="2"/>
                <w:sz w:val="21"/>
                <w:szCs w:val="21"/>
              </w:rPr>
              <w:t>3</w:t>
            </w:r>
          </w:p>
        </w:tc>
        <w:tc>
          <w:tcPr>
            <w:tcW w:w="1486" w:type="dxa"/>
            <w:vAlign w:val="center"/>
          </w:tcPr>
          <w:p>
            <w:pPr>
              <w:pStyle w:val="635"/>
              <w:snapToGrid w:val="0"/>
              <w:spacing w:line="360" w:lineRule="auto"/>
              <w:ind w:left="38"/>
              <w:jc w:val="center"/>
              <w:rPr>
                <w:rFonts w:cs="Times New Roman"/>
                <w:kern w:val="2"/>
                <w:sz w:val="21"/>
                <w:szCs w:val="21"/>
              </w:rPr>
            </w:pPr>
            <w:r>
              <w:rPr>
                <w:rFonts w:hint="eastAsia" w:cs="Times New Roman"/>
                <w:kern w:val="2"/>
                <w:sz w:val="21"/>
                <w:szCs w:val="21"/>
              </w:rPr>
              <w:t>不正当竞争预防措施</w:t>
            </w:r>
          </w:p>
        </w:tc>
        <w:tc>
          <w:tcPr>
            <w:tcW w:w="7471" w:type="dxa"/>
            <w:vAlign w:val="center"/>
          </w:tcPr>
          <w:p>
            <w:pPr>
              <w:adjustRightInd w:val="0"/>
              <w:snapToGrid w:val="0"/>
              <w:spacing w:line="320" w:lineRule="exact"/>
              <w:ind w:right="31" w:rightChars="15" w:firstLine="420" w:firstLineChars="200"/>
              <w:rPr>
                <w:rFonts w:ascii="宋体" w:hAnsi="宋体"/>
                <w:szCs w:val="21"/>
              </w:rPr>
            </w:pPr>
            <w:r>
              <w:rPr>
                <w:rFonts w:hint="eastAsia" w:ascii="宋体" w:hAnsi="宋体"/>
                <w:szCs w:val="21"/>
              </w:rPr>
              <w:t>一</w:t>
            </w:r>
            <w:r>
              <w:rPr>
                <w:rFonts w:ascii="宋体" w:hAnsi="宋体"/>
                <w:szCs w:val="21"/>
              </w:rPr>
              <w:t>、</w:t>
            </w:r>
            <w:r>
              <w:rPr>
                <w:rFonts w:hint="eastAsia" w:ascii="宋体" w:hAnsi="宋体"/>
                <w:szCs w:val="21"/>
              </w:rPr>
              <w:t>在评审过程中，磋商小组认为供应商的报价明显低于其他通过符合性审查供应商的报价，有可能影响产品质量或者不能诚信履约的，磋商小组应当要求其在评审现场规定时间内提供报价合理性的书面说明，必要时提供相关证明材料。“证明材料”可以为：（1）成本构成。包含工程建设、材料、人工费用、运输、安装调试、利润、税收等；（2）较其他报价人且能支撑自己报更低价格的优势说明等。报价人拟低价报价的，可事先作好书面说明或提供相关证明材料以备用。</w:t>
            </w:r>
          </w:p>
          <w:p>
            <w:pPr>
              <w:adjustRightInd w:val="0"/>
              <w:snapToGrid w:val="0"/>
              <w:spacing w:line="320" w:lineRule="exact"/>
              <w:ind w:right="31" w:rightChars="15" w:firstLine="420" w:firstLineChars="200"/>
              <w:rPr>
                <w:rFonts w:ascii="宋体" w:hAnsi="宋体"/>
                <w:szCs w:val="21"/>
              </w:rPr>
            </w:pPr>
            <w:r>
              <w:rPr>
                <w:rFonts w:hint="eastAsia" w:ascii="宋体" w:hAnsi="宋体"/>
                <w:szCs w:val="21"/>
              </w:rPr>
              <w:t>二、供应商书面说明应当由授权代表签字确认或者加盖公章，否则无效。</w:t>
            </w:r>
          </w:p>
          <w:p>
            <w:pPr>
              <w:adjustRightInd w:val="0"/>
              <w:snapToGrid w:val="0"/>
              <w:spacing w:line="320" w:lineRule="exact"/>
              <w:ind w:right="31" w:rightChars="15" w:firstLine="420" w:firstLineChars="200"/>
              <w:rPr>
                <w:rFonts w:ascii="宋体" w:hAnsi="宋体"/>
                <w:szCs w:val="21"/>
              </w:rPr>
            </w:pPr>
            <w:r>
              <w:rPr>
                <w:rFonts w:hint="eastAsia" w:ascii="宋体" w:hAnsi="宋体"/>
                <w:szCs w:val="21"/>
              </w:rPr>
              <w:t>三、供应商不能证明其报价合理性的，磋商小组应当将其作为无效报价处理。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989" w:type="dxa"/>
            <w:vAlign w:val="center"/>
          </w:tcPr>
          <w:p>
            <w:pPr>
              <w:pStyle w:val="635"/>
              <w:snapToGrid w:val="0"/>
              <w:spacing w:line="360" w:lineRule="auto"/>
              <w:ind w:right="230"/>
              <w:jc w:val="center"/>
              <w:rPr>
                <w:rFonts w:cs="Times New Roman"/>
                <w:kern w:val="2"/>
                <w:sz w:val="21"/>
                <w:szCs w:val="21"/>
              </w:rPr>
            </w:pPr>
            <w:r>
              <w:rPr>
                <w:rFonts w:hint="eastAsia" w:cs="Times New Roman"/>
                <w:kern w:val="2"/>
                <w:sz w:val="21"/>
                <w:szCs w:val="21"/>
              </w:rPr>
              <w:t>4</w:t>
            </w:r>
          </w:p>
        </w:tc>
        <w:tc>
          <w:tcPr>
            <w:tcW w:w="1486" w:type="dxa"/>
            <w:vAlign w:val="center"/>
          </w:tcPr>
          <w:p>
            <w:pPr>
              <w:pStyle w:val="635"/>
              <w:snapToGrid w:val="0"/>
              <w:spacing w:line="360" w:lineRule="auto"/>
              <w:ind w:left="96"/>
              <w:jc w:val="center"/>
              <w:rPr>
                <w:rFonts w:cs="Times New Roman"/>
                <w:kern w:val="2"/>
                <w:sz w:val="21"/>
                <w:szCs w:val="21"/>
              </w:rPr>
            </w:pPr>
            <w:r>
              <w:rPr>
                <w:rFonts w:cs="Times New Roman"/>
                <w:kern w:val="2"/>
                <w:sz w:val="21"/>
                <w:szCs w:val="21"/>
              </w:rPr>
              <w:t>履约</w:t>
            </w:r>
            <w:r>
              <w:rPr>
                <w:rFonts w:hint="eastAsia" w:cs="Times New Roman"/>
                <w:kern w:val="2"/>
                <w:sz w:val="21"/>
                <w:szCs w:val="21"/>
              </w:rPr>
              <w:t>保证金</w:t>
            </w:r>
          </w:p>
        </w:tc>
        <w:tc>
          <w:tcPr>
            <w:tcW w:w="7471" w:type="dxa"/>
            <w:vAlign w:val="center"/>
          </w:tcPr>
          <w:p>
            <w:pPr>
              <w:pStyle w:val="26"/>
              <w:adjustRightInd w:val="0"/>
              <w:snapToGrid w:val="0"/>
              <w:spacing w:line="320" w:lineRule="exact"/>
              <w:ind w:firstLine="420" w:firstLineChars="200"/>
              <w:rPr>
                <w:rFonts w:hAnsi="宋体"/>
                <w:szCs w:val="21"/>
              </w:rPr>
            </w:pPr>
            <w:r>
              <w:rPr>
                <w:rFonts w:hint="eastAsia" w:hAnsi="宋体"/>
                <w:szCs w:val="21"/>
              </w:rPr>
              <w:t>履约</w:t>
            </w:r>
            <w:r>
              <w:rPr>
                <w:rFonts w:hAnsi="宋体"/>
                <w:szCs w:val="21"/>
              </w:rPr>
              <w:t>保证金</w:t>
            </w:r>
            <w:r>
              <w:rPr>
                <w:rFonts w:hint="eastAsia" w:hAnsi="宋体"/>
                <w:szCs w:val="21"/>
              </w:rPr>
              <w:t>：本项目不收取。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989" w:type="dxa"/>
            <w:tcBorders>
              <w:top w:val="single" w:color="auto" w:sz="4" w:space="0"/>
              <w:bottom w:val="single" w:color="auto" w:sz="4" w:space="0"/>
            </w:tcBorders>
            <w:vAlign w:val="center"/>
          </w:tcPr>
          <w:p>
            <w:pPr>
              <w:pStyle w:val="635"/>
              <w:snapToGrid w:val="0"/>
              <w:spacing w:line="360" w:lineRule="auto"/>
              <w:ind w:right="264"/>
              <w:jc w:val="center"/>
              <w:rPr>
                <w:rFonts w:cs="Times New Roman"/>
                <w:kern w:val="2"/>
                <w:sz w:val="21"/>
                <w:szCs w:val="21"/>
              </w:rPr>
            </w:pPr>
            <w:r>
              <w:rPr>
                <w:rFonts w:hint="eastAsia" w:cs="Times New Roman"/>
                <w:kern w:val="2"/>
                <w:sz w:val="21"/>
                <w:szCs w:val="21"/>
              </w:rPr>
              <w:t>5</w:t>
            </w:r>
          </w:p>
        </w:tc>
        <w:tc>
          <w:tcPr>
            <w:tcW w:w="1486" w:type="dxa"/>
            <w:tcBorders>
              <w:top w:val="single" w:color="auto" w:sz="4" w:space="0"/>
              <w:bottom w:val="single" w:color="auto" w:sz="4" w:space="0"/>
            </w:tcBorders>
            <w:vAlign w:val="center"/>
          </w:tcPr>
          <w:p>
            <w:pPr>
              <w:pStyle w:val="635"/>
              <w:snapToGrid w:val="0"/>
              <w:spacing w:line="360" w:lineRule="auto"/>
              <w:jc w:val="center"/>
              <w:rPr>
                <w:rFonts w:cs="Times New Roman"/>
                <w:kern w:val="2"/>
                <w:sz w:val="21"/>
                <w:szCs w:val="21"/>
              </w:rPr>
            </w:pPr>
            <w:r>
              <w:rPr>
                <w:rFonts w:hint="eastAsia" w:cs="Times New Roman"/>
                <w:kern w:val="2"/>
                <w:sz w:val="21"/>
                <w:szCs w:val="21"/>
              </w:rPr>
              <w:t>采购活动询问</w:t>
            </w:r>
            <w:r>
              <w:rPr>
                <w:rFonts w:cs="Times New Roman"/>
                <w:kern w:val="2"/>
                <w:sz w:val="21"/>
                <w:szCs w:val="21"/>
              </w:rPr>
              <w:t>、质疑、投诉及</w:t>
            </w:r>
            <w:r>
              <w:rPr>
                <w:rFonts w:hint="eastAsia" w:cs="Times New Roman"/>
                <w:kern w:val="2"/>
                <w:sz w:val="21"/>
                <w:szCs w:val="21"/>
              </w:rPr>
              <w:t>咨询</w:t>
            </w:r>
          </w:p>
        </w:tc>
        <w:tc>
          <w:tcPr>
            <w:tcW w:w="7471" w:type="dxa"/>
            <w:tcBorders>
              <w:top w:val="single" w:color="auto" w:sz="4" w:space="0"/>
              <w:bottom w:val="single" w:color="auto" w:sz="4" w:space="0"/>
            </w:tcBorders>
          </w:tcPr>
          <w:p>
            <w:pPr>
              <w:adjustRightInd w:val="0"/>
              <w:snapToGrid w:val="0"/>
              <w:spacing w:line="320" w:lineRule="exact"/>
              <w:ind w:firstLine="420" w:firstLineChars="200"/>
              <w:rPr>
                <w:rFonts w:ascii="宋体" w:hAnsi="宋体"/>
                <w:szCs w:val="21"/>
              </w:rPr>
            </w:pPr>
            <w:r>
              <w:rPr>
                <w:rFonts w:hint="eastAsia" w:ascii="宋体" w:hAnsi="宋体"/>
                <w:szCs w:val="21"/>
              </w:rPr>
              <w:t>供应商询问、质疑磋商文件中的资格性要求、采购需求、技术服务要求等内容由采购单位负责受理和答复。询问、质疑供应商应当按照相关规定向受理人提交书面材料。文件下载咨询、文件内容咨询、评审咨询、 询问和质疑咨询：</w:t>
            </w:r>
            <w:r>
              <w:rPr>
                <w:rFonts w:hint="eastAsia" w:ascii="宋体" w:hAnsi="宋体"/>
                <w:szCs w:val="21"/>
                <w:highlight w:val="yellow"/>
              </w:rPr>
              <w:t>见磋商邀请公告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 w:hRule="atLeast"/>
        </w:trPr>
        <w:tc>
          <w:tcPr>
            <w:tcW w:w="989" w:type="dxa"/>
            <w:tcBorders>
              <w:top w:val="single" w:color="auto" w:sz="4" w:space="0"/>
              <w:bottom w:val="single" w:color="auto" w:sz="4" w:space="0"/>
            </w:tcBorders>
            <w:vAlign w:val="center"/>
          </w:tcPr>
          <w:p>
            <w:pPr>
              <w:pStyle w:val="635"/>
              <w:snapToGrid w:val="0"/>
              <w:spacing w:line="360" w:lineRule="auto"/>
              <w:ind w:right="264"/>
              <w:jc w:val="center"/>
              <w:rPr>
                <w:rFonts w:cs="Times New Roman"/>
                <w:kern w:val="2"/>
                <w:sz w:val="21"/>
                <w:szCs w:val="21"/>
              </w:rPr>
            </w:pPr>
            <w:r>
              <w:rPr>
                <w:rFonts w:hint="eastAsia" w:cs="Times New Roman"/>
                <w:kern w:val="2"/>
                <w:sz w:val="21"/>
                <w:szCs w:val="21"/>
              </w:rPr>
              <w:t>6</w:t>
            </w:r>
          </w:p>
        </w:tc>
        <w:tc>
          <w:tcPr>
            <w:tcW w:w="1486" w:type="dxa"/>
            <w:tcBorders>
              <w:top w:val="single" w:color="auto" w:sz="4" w:space="0"/>
              <w:bottom w:val="single" w:color="auto" w:sz="4" w:space="0"/>
            </w:tcBorders>
            <w:vAlign w:val="center"/>
          </w:tcPr>
          <w:p>
            <w:pPr>
              <w:adjustRightInd w:val="0"/>
              <w:snapToGrid w:val="0"/>
              <w:spacing w:line="360" w:lineRule="auto"/>
              <w:ind w:left="105" w:leftChars="50" w:right="105" w:rightChars="50"/>
              <w:jc w:val="center"/>
              <w:rPr>
                <w:rFonts w:ascii="宋体" w:hAnsi="宋体"/>
                <w:szCs w:val="21"/>
              </w:rPr>
            </w:pPr>
            <w:r>
              <w:rPr>
                <w:rFonts w:hint="eastAsia" w:ascii="宋体" w:hAnsi="宋体"/>
                <w:szCs w:val="21"/>
              </w:rPr>
              <w:t>评审情况的公告和成交通知书领取</w:t>
            </w:r>
          </w:p>
        </w:tc>
        <w:tc>
          <w:tcPr>
            <w:tcW w:w="7471" w:type="dxa"/>
            <w:tcBorders>
              <w:top w:val="single" w:color="auto" w:sz="4" w:space="0"/>
              <w:bottom w:val="single" w:color="auto" w:sz="4" w:space="0"/>
            </w:tcBorders>
            <w:vAlign w:val="center"/>
          </w:tcPr>
          <w:p>
            <w:pPr>
              <w:adjustRightInd w:val="0"/>
              <w:snapToGrid w:val="0"/>
              <w:spacing w:line="320" w:lineRule="exact"/>
              <w:ind w:firstLine="422" w:firstLineChars="200"/>
              <w:rPr>
                <w:rFonts w:ascii="宋体" w:hAnsi="宋体"/>
                <w:szCs w:val="21"/>
              </w:rPr>
            </w:pPr>
            <w:r>
              <w:rPr>
                <w:rFonts w:hint="eastAsia" w:ascii="宋体" w:hAnsi="宋体" w:cs="宋体"/>
                <w:b/>
                <w:bCs/>
                <w:color w:val="FF0000"/>
                <w:kern w:val="0"/>
                <w:szCs w:val="21"/>
              </w:rPr>
              <w:t>成交结果公告在本单位网站上结束无质疑后，采购人将根据供应商响应文件中提供的通信地址寄出成交通知书（请自行核对通信地址、联系人、联系电话等并注意查收）。成交人未签收或因成交人的原因逾期未与采购人签订采购合同的责任将由成交人承担，财政部门根据相关政策规定作出处罚</w:t>
            </w:r>
            <w:r>
              <w:rPr>
                <w:rFonts w:hint="eastAsia" w:ascii="宋体" w:hAnsi="宋体" w:cs="宋体"/>
                <w:color w:val="FF0000"/>
                <w:kern w:val="0"/>
                <w:szCs w:val="21"/>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989" w:type="dxa"/>
            <w:vAlign w:val="center"/>
          </w:tcPr>
          <w:p>
            <w:pPr>
              <w:pStyle w:val="635"/>
              <w:snapToGrid w:val="0"/>
              <w:spacing w:line="360" w:lineRule="auto"/>
              <w:ind w:right="264"/>
              <w:jc w:val="center"/>
              <w:rPr>
                <w:rFonts w:cs="Times New Roman"/>
                <w:kern w:val="2"/>
                <w:sz w:val="21"/>
                <w:szCs w:val="21"/>
              </w:rPr>
            </w:pPr>
            <w:r>
              <w:rPr>
                <w:rFonts w:hint="eastAsia" w:cs="Times New Roman"/>
                <w:kern w:val="2"/>
                <w:sz w:val="21"/>
                <w:szCs w:val="21"/>
              </w:rPr>
              <w:t>7</w:t>
            </w:r>
          </w:p>
        </w:tc>
        <w:tc>
          <w:tcPr>
            <w:tcW w:w="1486" w:type="dxa"/>
            <w:vAlign w:val="center"/>
          </w:tcPr>
          <w:p>
            <w:pPr>
              <w:pStyle w:val="635"/>
              <w:snapToGrid w:val="0"/>
              <w:spacing w:line="360" w:lineRule="auto"/>
              <w:jc w:val="center"/>
              <w:rPr>
                <w:rFonts w:cs="Times New Roman"/>
                <w:kern w:val="2"/>
                <w:sz w:val="21"/>
                <w:szCs w:val="21"/>
              </w:rPr>
            </w:pPr>
            <w:r>
              <w:rPr>
                <w:rFonts w:hint="eastAsia" w:cs="Times New Roman"/>
                <w:kern w:val="2"/>
                <w:sz w:val="21"/>
                <w:szCs w:val="21"/>
              </w:rPr>
              <w:t>响应</w:t>
            </w:r>
            <w:r>
              <w:rPr>
                <w:rFonts w:cs="Times New Roman"/>
                <w:kern w:val="2"/>
                <w:sz w:val="21"/>
                <w:szCs w:val="21"/>
              </w:rPr>
              <w:t>文件包括的内容</w:t>
            </w:r>
          </w:p>
        </w:tc>
        <w:tc>
          <w:tcPr>
            <w:tcW w:w="7471" w:type="dxa"/>
            <w:vAlign w:val="center"/>
          </w:tcPr>
          <w:p>
            <w:pPr>
              <w:adjustRightInd w:val="0"/>
              <w:snapToGrid w:val="0"/>
              <w:spacing w:line="320" w:lineRule="exact"/>
              <w:ind w:firstLine="420" w:firstLineChars="200"/>
              <w:rPr>
                <w:rFonts w:ascii="宋体" w:hAnsi="宋体"/>
                <w:szCs w:val="21"/>
              </w:rPr>
            </w:pPr>
            <w:r>
              <w:rPr>
                <w:rFonts w:hint="eastAsia" w:ascii="宋体" w:hAnsi="宋体"/>
                <w:szCs w:val="21"/>
              </w:rPr>
              <w:t>一、响应文件</w:t>
            </w:r>
            <w:r>
              <w:rPr>
                <w:rFonts w:ascii="宋体" w:hAnsi="宋体"/>
                <w:szCs w:val="21"/>
              </w:rPr>
              <w:t>－</w:t>
            </w:r>
            <w:r>
              <w:rPr>
                <w:rFonts w:hint="eastAsia" w:ascii="宋体" w:hAnsi="宋体"/>
                <w:szCs w:val="21"/>
              </w:rPr>
              <w:t>资格性部分</w:t>
            </w:r>
          </w:p>
          <w:p>
            <w:pPr>
              <w:adjustRightInd w:val="0"/>
              <w:snapToGrid w:val="0"/>
              <w:spacing w:line="320" w:lineRule="exact"/>
              <w:ind w:firstLine="420" w:firstLineChars="200"/>
              <w:rPr>
                <w:rFonts w:ascii="宋体" w:hAnsi="宋体"/>
                <w:szCs w:val="21"/>
              </w:rPr>
            </w:pPr>
            <w:r>
              <w:rPr>
                <w:rFonts w:hint="eastAsia" w:ascii="宋体" w:hAnsi="宋体"/>
                <w:szCs w:val="21"/>
              </w:rPr>
              <w:t>二、响应文件</w:t>
            </w:r>
            <w:r>
              <w:rPr>
                <w:rFonts w:ascii="宋体" w:hAnsi="宋体"/>
                <w:szCs w:val="21"/>
              </w:rPr>
              <w:t>－</w:t>
            </w:r>
            <w:r>
              <w:rPr>
                <w:rFonts w:hint="eastAsia" w:ascii="宋体" w:hAnsi="宋体"/>
                <w:szCs w:val="21"/>
              </w:rPr>
              <w:t>技术服务</w:t>
            </w:r>
            <w:r>
              <w:rPr>
                <w:rFonts w:ascii="宋体" w:hAnsi="宋体"/>
                <w:szCs w:val="21"/>
              </w:rPr>
              <w:t>部分</w:t>
            </w:r>
          </w:p>
          <w:p>
            <w:pPr>
              <w:adjustRightInd w:val="0"/>
              <w:snapToGrid w:val="0"/>
              <w:spacing w:line="320" w:lineRule="exact"/>
              <w:ind w:firstLine="420" w:firstLineChars="200"/>
              <w:rPr>
                <w:rFonts w:ascii="宋体" w:hAnsi="宋体"/>
                <w:szCs w:val="21"/>
              </w:rPr>
            </w:pPr>
            <w:r>
              <w:rPr>
                <w:rFonts w:hint="eastAsia" w:ascii="宋体" w:hAnsi="宋体"/>
                <w:szCs w:val="21"/>
              </w:rPr>
              <w:t>三、响应文件</w:t>
            </w:r>
            <w:r>
              <w:rPr>
                <w:rFonts w:ascii="宋体" w:hAnsi="宋体"/>
                <w:szCs w:val="21"/>
              </w:rPr>
              <w:t>－</w:t>
            </w:r>
            <w:r>
              <w:rPr>
                <w:rFonts w:hint="eastAsia" w:ascii="宋体" w:hAnsi="宋体"/>
                <w:szCs w:val="21"/>
              </w:rPr>
              <w:t>报价部分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989" w:type="dxa"/>
            <w:vAlign w:val="center"/>
          </w:tcPr>
          <w:p>
            <w:pPr>
              <w:pStyle w:val="635"/>
              <w:snapToGrid w:val="0"/>
              <w:spacing w:line="360" w:lineRule="auto"/>
              <w:ind w:right="264"/>
              <w:jc w:val="center"/>
              <w:rPr>
                <w:rFonts w:cs="Times New Roman"/>
                <w:kern w:val="2"/>
                <w:sz w:val="21"/>
                <w:szCs w:val="21"/>
              </w:rPr>
            </w:pPr>
            <w:r>
              <w:rPr>
                <w:rFonts w:hint="eastAsia" w:cs="Times New Roman"/>
                <w:kern w:val="2"/>
                <w:sz w:val="21"/>
                <w:szCs w:val="21"/>
              </w:rPr>
              <w:t>8</w:t>
            </w:r>
          </w:p>
        </w:tc>
        <w:tc>
          <w:tcPr>
            <w:tcW w:w="1486" w:type="dxa"/>
            <w:vAlign w:val="center"/>
          </w:tcPr>
          <w:p>
            <w:pPr>
              <w:pStyle w:val="635"/>
              <w:snapToGrid w:val="0"/>
              <w:spacing w:line="360" w:lineRule="auto"/>
              <w:jc w:val="center"/>
              <w:rPr>
                <w:rFonts w:cs="Times New Roman"/>
                <w:kern w:val="2"/>
                <w:sz w:val="21"/>
                <w:szCs w:val="21"/>
              </w:rPr>
            </w:pPr>
            <w:r>
              <w:rPr>
                <w:rFonts w:hint="eastAsia" w:cs="Times New Roman"/>
                <w:kern w:val="2"/>
                <w:sz w:val="21"/>
                <w:szCs w:val="21"/>
              </w:rPr>
              <w:t>响应</w:t>
            </w:r>
            <w:r>
              <w:rPr>
                <w:rFonts w:cs="Times New Roman"/>
                <w:kern w:val="2"/>
                <w:sz w:val="21"/>
                <w:szCs w:val="21"/>
              </w:rPr>
              <w:t>文件数量</w:t>
            </w:r>
          </w:p>
        </w:tc>
        <w:tc>
          <w:tcPr>
            <w:tcW w:w="7471" w:type="dxa"/>
            <w:vAlign w:val="center"/>
          </w:tcPr>
          <w:p>
            <w:pPr>
              <w:adjustRightInd w:val="0"/>
              <w:snapToGrid w:val="0"/>
              <w:spacing w:line="320" w:lineRule="exact"/>
              <w:ind w:firstLine="420" w:firstLineChars="200"/>
              <w:rPr>
                <w:rFonts w:ascii="宋体" w:hAnsi="宋体"/>
                <w:szCs w:val="21"/>
              </w:rPr>
            </w:pPr>
            <w:r>
              <w:rPr>
                <w:rFonts w:hint="eastAsia" w:ascii="宋体" w:hAnsi="宋体"/>
                <w:szCs w:val="21"/>
              </w:rPr>
              <w:t>本表第11项所包括的三部分内容：正本</w:t>
            </w:r>
            <w:r>
              <w:rPr>
                <w:rFonts w:hint="eastAsia" w:ascii="宋体" w:hAnsi="宋体"/>
                <w:szCs w:val="21"/>
                <w:u w:val="single"/>
              </w:rPr>
              <w:t>各</w:t>
            </w:r>
            <w:r>
              <w:rPr>
                <w:rFonts w:hint="eastAsia" w:ascii="宋体" w:hAnsi="宋体"/>
                <w:color w:val="FF0000"/>
                <w:szCs w:val="21"/>
                <w:u w:val="single"/>
              </w:rPr>
              <w:t>壹</w:t>
            </w:r>
            <w:r>
              <w:rPr>
                <w:rFonts w:hint="eastAsia" w:ascii="宋体" w:hAnsi="宋体"/>
                <w:szCs w:val="21"/>
                <w:u w:val="single"/>
              </w:rPr>
              <w:t>份</w:t>
            </w:r>
            <w:r>
              <w:rPr>
                <w:rFonts w:ascii="宋体" w:hAnsi="宋体"/>
                <w:szCs w:val="21"/>
              </w:rPr>
              <w:t>，副本</w:t>
            </w:r>
            <w:r>
              <w:rPr>
                <w:rFonts w:hint="eastAsia" w:ascii="宋体" w:hAnsi="宋体"/>
                <w:szCs w:val="21"/>
                <w:u w:val="single"/>
              </w:rPr>
              <w:t>各</w:t>
            </w:r>
            <w:r>
              <w:rPr>
                <w:rFonts w:hint="eastAsia" w:ascii="宋体" w:hAnsi="宋体"/>
                <w:color w:val="FF0000"/>
                <w:szCs w:val="21"/>
                <w:u w:val="single"/>
              </w:rPr>
              <w:t>贰</w:t>
            </w:r>
            <w:r>
              <w:rPr>
                <w:rFonts w:ascii="宋体" w:hAnsi="宋体"/>
                <w:szCs w:val="21"/>
              </w:rPr>
              <w:t>份</w:t>
            </w:r>
            <w:r>
              <w:rPr>
                <w:rFonts w:hint="eastAsia" w:ascii="宋体" w:hAnsi="宋体"/>
                <w:szCs w:val="21"/>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9" w:hRule="atLeast"/>
        </w:trPr>
        <w:tc>
          <w:tcPr>
            <w:tcW w:w="989" w:type="dxa"/>
            <w:vAlign w:val="center"/>
          </w:tcPr>
          <w:p>
            <w:pPr>
              <w:pStyle w:val="635"/>
              <w:snapToGrid w:val="0"/>
              <w:spacing w:line="360" w:lineRule="auto"/>
              <w:ind w:right="264"/>
              <w:jc w:val="center"/>
              <w:rPr>
                <w:rFonts w:cs="Times New Roman"/>
                <w:kern w:val="2"/>
                <w:sz w:val="21"/>
                <w:szCs w:val="21"/>
              </w:rPr>
            </w:pPr>
            <w:r>
              <w:rPr>
                <w:rFonts w:hint="eastAsia" w:cs="Times New Roman"/>
                <w:kern w:val="2"/>
                <w:sz w:val="21"/>
                <w:szCs w:val="21"/>
              </w:rPr>
              <w:t>9</w:t>
            </w:r>
          </w:p>
        </w:tc>
        <w:tc>
          <w:tcPr>
            <w:tcW w:w="1486" w:type="dxa"/>
            <w:vAlign w:val="center"/>
          </w:tcPr>
          <w:p>
            <w:pPr>
              <w:pStyle w:val="635"/>
              <w:snapToGrid w:val="0"/>
              <w:spacing w:line="360" w:lineRule="auto"/>
              <w:jc w:val="center"/>
              <w:rPr>
                <w:rFonts w:cs="Times New Roman"/>
                <w:kern w:val="2"/>
                <w:sz w:val="21"/>
                <w:szCs w:val="21"/>
              </w:rPr>
            </w:pPr>
            <w:r>
              <w:rPr>
                <w:rFonts w:hint="eastAsia" w:cs="Times New Roman"/>
                <w:kern w:val="2"/>
                <w:sz w:val="21"/>
                <w:szCs w:val="21"/>
              </w:rPr>
              <w:t>磋商</w:t>
            </w:r>
            <w:r>
              <w:rPr>
                <w:rFonts w:cs="Times New Roman"/>
                <w:kern w:val="2"/>
                <w:sz w:val="21"/>
                <w:szCs w:val="21"/>
              </w:rPr>
              <w:t>有效期</w:t>
            </w:r>
          </w:p>
        </w:tc>
        <w:tc>
          <w:tcPr>
            <w:tcW w:w="7471" w:type="dxa"/>
            <w:vAlign w:val="center"/>
          </w:tcPr>
          <w:p>
            <w:pPr>
              <w:adjustRightInd w:val="0"/>
              <w:snapToGrid w:val="0"/>
              <w:spacing w:line="320" w:lineRule="exact"/>
              <w:ind w:firstLine="420" w:firstLineChars="200"/>
              <w:rPr>
                <w:rFonts w:ascii="宋体" w:hAnsi="宋体"/>
                <w:szCs w:val="21"/>
              </w:rPr>
            </w:pPr>
            <w:r>
              <w:rPr>
                <w:rFonts w:hint="eastAsia" w:ascii="宋体" w:hAnsi="宋体"/>
                <w:szCs w:val="21"/>
              </w:rPr>
              <w:t xml:space="preserve">    本项目磋商有效期为响应文件</w:t>
            </w:r>
            <w:r>
              <w:rPr>
                <w:rFonts w:ascii="宋体" w:hAnsi="宋体"/>
                <w:szCs w:val="21"/>
              </w:rPr>
              <w:t>递交</w:t>
            </w:r>
            <w:r>
              <w:rPr>
                <w:rFonts w:hint="eastAsia" w:ascii="宋体" w:hAnsi="宋体"/>
                <w:szCs w:val="21"/>
              </w:rPr>
              <w:t xml:space="preserve">截止时间届满后 </w:t>
            </w:r>
            <w:r>
              <w:rPr>
                <w:rFonts w:hint="eastAsia" w:ascii="宋体" w:hAnsi="宋体"/>
                <w:color w:val="FF0000"/>
                <w:szCs w:val="21"/>
                <w:u w:val="single"/>
              </w:rPr>
              <w:t xml:space="preserve">60 </w:t>
            </w:r>
            <w:r>
              <w:rPr>
                <w:rFonts w:hint="eastAsia" w:ascii="宋体" w:hAnsi="宋体"/>
                <w:szCs w:val="21"/>
              </w:rPr>
              <w:t>日历天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989" w:type="dxa"/>
            <w:vAlign w:val="center"/>
          </w:tcPr>
          <w:p>
            <w:pPr>
              <w:pStyle w:val="635"/>
              <w:snapToGrid w:val="0"/>
              <w:spacing w:line="360" w:lineRule="auto"/>
              <w:ind w:right="264"/>
              <w:jc w:val="center"/>
              <w:rPr>
                <w:rFonts w:cs="Times New Roman"/>
                <w:kern w:val="2"/>
                <w:sz w:val="21"/>
                <w:szCs w:val="21"/>
              </w:rPr>
            </w:pPr>
            <w:r>
              <w:rPr>
                <w:rFonts w:hint="eastAsia" w:cs="Times New Roman"/>
                <w:kern w:val="2"/>
                <w:sz w:val="21"/>
                <w:szCs w:val="21"/>
              </w:rPr>
              <w:t>10</w:t>
            </w:r>
          </w:p>
        </w:tc>
        <w:tc>
          <w:tcPr>
            <w:tcW w:w="1486" w:type="dxa"/>
            <w:vAlign w:val="center"/>
          </w:tcPr>
          <w:p>
            <w:pPr>
              <w:pStyle w:val="635"/>
              <w:snapToGrid w:val="0"/>
              <w:spacing w:line="360" w:lineRule="auto"/>
              <w:jc w:val="center"/>
              <w:rPr>
                <w:rFonts w:cs="Times New Roman"/>
                <w:kern w:val="2"/>
                <w:sz w:val="21"/>
                <w:szCs w:val="21"/>
              </w:rPr>
            </w:pPr>
            <w:r>
              <w:rPr>
                <w:rFonts w:hint="eastAsia"/>
                <w:szCs w:val="21"/>
              </w:rPr>
              <w:t>采购合同签订</w:t>
            </w:r>
          </w:p>
        </w:tc>
        <w:tc>
          <w:tcPr>
            <w:tcW w:w="7471" w:type="dxa"/>
          </w:tcPr>
          <w:p>
            <w:pPr>
              <w:adjustRightInd w:val="0"/>
              <w:snapToGrid w:val="0"/>
              <w:spacing w:line="320" w:lineRule="exact"/>
              <w:ind w:right="105" w:rightChars="50"/>
              <w:rPr>
                <w:rFonts w:ascii="宋体" w:hAnsi="宋体"/>
                <w:szCs w:val="21"/>
              </w:rPr>
            </w:pPr>
            <w:r>
              <w:rPr>
                <w:rFonts w:hint="eastAsia" w:ascii="宋体" w:hAnsi="宋体"/>
                <w:szCs w:val="21"/>
              </w:rPr>
              <w:t>成交供应商应在成交结果公示结束之日起（即成交通知书发出之日）按本文件规定的时间与采购人签订合同。</w:t>
            </w:r>
          </w:p>
        </w:tc>
      </w:tr>
      <w:bookmarkEnd w:id="7"/>
      <w:bookmarkEnd w:id="8"/>
      <w:bookmarkEnd w:id="9"/>
      <w:bookmarkEnd w:id="10"/>
      <w:bookmarkEnd w:id="11"/>
    </w:tbl>
    <w:p>
      <w:pPr>
        <w:pStyle w:val="5"/>
        <w:rPr>
          <w:rFonts w:ascii="宋体" w:hAnsi="宋体"/>
        </w:rPr>
      </w:pPr>
      <w:bookmarkStart w:id="16" w:name="_Toc512677517"/>
      <w:r>
        <w:rPr>
          <w:rFonts w:ascii="宋体" w:hAnsi="宋体"/>
        </w:rPr>
        <w:br w:type="page"/>
      </w:r>
      <w:bookmarkStart w:id="17" w:name="_Toc112257045"/>
      <w:r>
        <w:rPr>
          <w:rFonts w:hint="eastAsia" w:ascii="宋体" w:hAnsi="宋体"/>
        </w:rPr>
        <w:t>二、总则</w:t>
      </w:r>
      <w:bookmarkEnd w:id="16"/>
      <w:bookmarkEnd w:id="17"/>
    </w:p>
    <w:p>
      <w:pPr>
        <w:adjustRightInd w:val="0"/>
        <w:snapToGrid w:val="0"/>
        <w:spacing w:line="360" w:lineRule="auto"/>
        <w:ind w:firstLine="482" w:firstLineChars="200"/>
        <w:rPr>
          <w:rFonts w:ascii="宋体" w:hAnsi="宋体"/>
          <w:b/>
          <w:sz w:val="24"/>
        </w:rPr>
      </w:pPr>
      <w:bookmarkStart w:id="18" w:name="_Toc217446034"/>
      <w:r>
        <w:rPr>
          <w:rFonts w:hint="eastAsia" w:ascii="宋体" w:hAnsi="宋体"/>
          <w:b/>
          <w:sz w:val="24"/>
        </w:rPr>
        <w:t>1、适用范围</w:t>
      </w:r>
      <w:bookmarkEnd w:id="18"/>
    </w:p>
    <w:p>
      <w:pPr>
        <w:adjustRightInd w:val="0"/>
        <w:snapToGrid w:val="0"/>
        <w:spacing w:line="360" w:lineRule="auto"/>
        <w:ind w:firstLine="420" w:firstLineChars="200"/>
        <w:rPr>
          <w:rFonts w:ascii="宋体" w:hAnsi="宋体"/>
          <w:b/>
          <w:sz w:val="24"/>
        </w:rPr>
      </w:pPr>
      <w:r>
        <w:rPr>
          <w:rFonts w:hint="eastAsia" w:ascii="宋体" w:hAnsi="宋体"/>
        </w:rPr>
        <w:t>本磋商文件仅适用于本次竞争性磋商采购项目。</w:t>
      </w:r>
    </w:p>
    <w:p>
      <w:pPr>
        <w:adjustRightInd w:val="0"/>
        <w:snapToGrid w:val="0"/>
        <w:spacing w:line="360" w:lineRule="auto"/>
        <w:ind w:firstLine="482" w:firstLineChars="200"/>
        <w:rPr>
          <w:rFonts w:ascii="宋体" w:hAnsi="宋体"/>
          <w:b/>
          <w:sz w:val="24"/>
        </w:rPr>
      </w:pPr>
      <w:bookmarkStart w:id="19" w:name="_Toc217446035"/>
      <w:r>
        <w:rPr>
          <w:rFonts w:hint="eastAsia" w:ascii="宋体" w:hAnsi="宋体"/>
          <w:b/>
          <w:sz w:val="24"/>
        </w:rPr>
        <w:t>2、有关定义</w:t>
      </w:r>
      <w:bookmarkEnd w:id="19"/>
    </w:p>
    <w:p>
      <w:pPr>
        <w:adjustRightInd w:val="0"/>
        <w:snapToGrid w:val="0"/>
        <w:spacing w:line="360" w:lineRule="auto"/>
        <w:ind w:firstLine="420" w:firstLineChars="200"/>
        <w:rPr>
          <w:rFonts w:ascii="宋体" w:hAnsi="宋体"/>
        </w:rPr>
      </w:pPr>
      <w:r>
        <w:rPr>
          <w:rFonts w:hint="eastAsia" w:ascii="宋体" w:hAnsi="宋体"/>
        </w:rPr>
        <w:t>（1） 本次竞争性磋商的“采购人”是</w:t>
      </w:r>
      <w:r>
        <w:rPr>
          <w:rFonts w:hint="eastAsia" w:ascii="宋体" w:hAnsi="宋体"/>
          <w:b/>
          <w:color w:val="FF0000"/>
          <w:szCs w:val="21"/>
          <w:u w:val="single"/>
        </w:rPr>
        <w:t>四川省科源工程技术测试中心</w:t>
      </w:r>
      <w:r>
        <w:rPr>
          <w:rFonts w:hint="eastAsia" w:ascii="宋体" w:hAnsi="宋体"/>
        </w:rPr>
        <w:t>。</w:t>
      </w:r>
    </w:p>
    <w:p>
      <w:pPr>
        <w:adjustRightInd w:val="0"/>
        <w:snapToGrid w:val="0"/>
        <w:spacing w:line="360" w:lineRule="auto"/>
        <w:ind w:firstLine="420" w:firstLineChars="200"/>
        <w:rPr>
          <w:rFonts w:ascii="宋体" w:hAnsi="宋体"/>
        </w:rPr>
      </w:pPr>
      <w:r>
        <w:rPr>
          <w:rFonts w:hint="eastAsia" w:ascii="宋体" w:hAnsi="宋体"/>
        </w:rPr>
        <w:t>（2）“供应商”系指拟参加本次竞争性磋商和向采购人提供货物及相应服务的具有独立法人的企业。</w:t>
      </w:r>
    </w:p>
    <w:p>
      <w:pPr>
        <w:adjustRightInd w:val="0"/>
        <w:snapToGrid w:val="0"/>
        <w:spacing w:line="360" w:lineRule="auto"/>
        <w:ind w:firstLine="482" w:firstLineChars="200"/>
        <w:rPr>
          <w:rFonts w:ascii="宋体" w:hAnsi="宋体"/>
          <w:b/>
          <w:sz w:val="24"/>
        </w:rPr>
      </w:pPr>
      <w:bookmarkStart w:id="20" w:name="_Toc183682344"/>
      <w:bookmarkStart w:id="21" w:name="_Toc217390843"/>
      <w:bookmarkStart w:id="22" w:name="_Toc183582207"/>
      <w:bookmarkStart w:id="23" w:name="_Toc217446036"/>
      <w:r>
        <w:rPr>
          <w:rFonts w:hint="eastAsia" w:ascii="宋体" w:hAnsi="宋体"/>
          <w:b/>
          <w:sz w:val="24"/>
        </w:rPr>
        <w:t>3、参与磋商的供应商应具备以下条件</w:t>
      </w:r>
      <w:bookmarkEnd w:id="20"/>
      <w:bookmarkEnd w:id="21"/>
      <w:bookmarkEnd w:id="22"/>
      <w:bookmarkEnd w:id="23"/>
    </w:p>
    <w:p>
      <w:pPr>
        <w:adjustRightInd w:val="0"/>
        <w:snapToGrid w:val="0"/>
        <w:spacing w:line="360" w:lineRule="auto"/>
        <w:ind w:firstLine="420" w:firstLineChars="200"/>
        <w:rPr>
          <w:rFonts w:ascii="宋体" w:hAnsi="宋体"/>
        </w:rPr>
      </w:pPr>
      <w:r>
        <w:rPr>
          <w:rFonts w:hint="eastAsia" w:ascii="宋体" w:hAnsi="宋体"/>
        </w:rPr>
        <w:t>（1）本竞争性磋商文件“磋商邀请”第五条规定的条件；</w:t>
      </w:r>
    </w:p>
    <w:p>
      <w:pPr>
        <w:adjustRightInd w:val="0"/>
        <w:snapToGrid w:val="0"/>
        <w:spacing w:line="360" w:lineRule="auto"/>
        <w:ind w:firstLine="420" w:firstLineChars="200"/>
        <w:rPr>
          <w:rFonts w:ascii="宋体" w:hAnsi="宋体"/>
        </w:rPr>
      </w:pPr>
      <w:r>
        <w:rPr>
          <w:rFonts w:hint="eastAsia" w:ascii="宋体" w:hAnsi="宋体"/>
        </w:rPr>
        <w:t>（2）遵守国家有关的法律、法规、规章和其他政策制度；</w:t>
      </w:r>
    </w:p>
    <w:p>
      <w:pPr>
        <w:adjustRightInd w:val="0"/>
        <w:snapToGrid w:val="0"/>
        <w:spacing w:line="360" w:lineRule="auto"/>
        <w:ind w:firstLine="482" w:firstLineChars="200"/>
        <w:rPr>
          <w:rFonts w:ascii="宋体" w:hAnsi="宋体"/>
          <w:b/>
          <w:sz w:val="24"/>
        </w:rPr>
      </w:pPr>
      <w:bookmarkStart w:id="24" w:name="_Toc217446037"/>
      <w:bookmarkStart w:id="25" w:name="_Toc183582208"/>
      <w:bookmarkStart w:id="26" w:name="_Toc183682345"/>
      <w:r>
        <w:rPr>
          <w:rFonts w:hint="eastAsia" w:ascii="宋体" w:hAnsi="宋体"/>
          <w:b/>
          <w:sz w:val="24"/>
        </w:rPr>
        <w:t>4、费用</w:t>
      </w:r>
      <w:bookmarkEnd w:id="24"/>
      <w:bookmarkEnd w:id="25"/>
      <w:bookmarkEnd w:id="26"/>
    </w:p>
    <w:p>
      <w:pPr>
        <w:adjustRightInd w:val="0"/>
        <w:snapToGrid w:val="0"/>
        <w:spacing w:line="360" w:lineRule="auto"/>
        <w:ind w:firstLine="420" w:firstLineChars="200"/>
        <w:rPr>
          <w:rFonts w:ascii="宋体" w:hAnsi="宋体"/>
        </w:rPr>
      </w:pPr>
      <w:r>
        <w:rPr>
          <w:rFonts w:hint="eastAsia" w:ascii="宋体" w:hAnsi="宋体"/>
        </w:rPr>
        <w:t>供应商参加磋商的费用由供应商自行承担。</w:t>
      </w:r>
    </w:p>
    <w:p>
      <w:pPr>
        <w:adjustRightInd w:val="0"/>
        <w:snapToGrid w:val="0"/>
        <w:spacing w:line="360" w:lineRule="auto"/>
        <w:ind w:firstLine="482" w:firstLineChars="200"/>
        <w:rPr>
          <w:rFonts w:ascii="宋体" w:hAnsi="宋体"/>
          <w:b/>
          <w:sz w:val="24"/>
        </w:rPr>
      </w:pPr>
      <w:bookmarkStart w:id="27" w:name="_Toc183582209"/>
      <w:bookmarkStart w:id="28" w:name="_Toc77400779"/>
      <w:bookmarkStart w:id="29" w:name="_Toc217446038"/>
      <w:bookmarkStart w:id="30" w:name="_Toc183682346"/>
      <w:bookmarkStart w:id="31" w:name="_Toc89075875"/>
      <w:r>
        <w:rPr>
          <w:rFonts w:hint="eastAsia" w:ascii="宋体" w:hAnsi="宋体"/>
          <w:b/>
          <w:sz w:val="24"/>
        </w:rPr>
        <w:t>5、充分、公平竞争保障措施</w:t>
      </w:r>
    </w:p>
    <w:p>
      <w:pPr>
        <w:adjustRightInd w:val="0"/>
        <w:snapToGrid w:val="0"/>
        <w:spacing w:line="360" w:lineRule="auto"/>
        <w:ind w:firstLine="422" w:firstLineChars="200"/>
        <w:rPr>
          <w:rFonts w:ascii="宋体" w:hAnsi="宋体"/>
          <w:b/>
          <w:szCs w:val="21"/>
        </w:rPr>
      </w:pPr>
      <w:bookmarkStart w:id="32" w:name="_Toc518487348"/>
      <w:r>
        <w:rPr>
          <w:rFonts w:hint="eastAsia" w:ascii="宋体" w:hAnsi="宋体"/>
          <w:b/>
          <w:szCs w:val="21"/>
        </w:rPr>
        <w:t>（1）提供相同品牌产品处理</w:t>
      </w:r>
    </w:p>
    <w:p>
      <w:pPr>
        <w:adjustRightInd w:val="0"/>
        <w:snapToGrid w:val="0"/>
        <w:spacing w:line="360" w:lineRule="auto"/>
        <w:ind w:firstLine="420" w:firstLineChars="200"/>
        <w:rPr>
          <w:rFonts w:ascii="宋体" w:hAnsi="宋体"/>
          <w:szCs w:val="21"/>
        </w:rPr>
      </w:pPr>
      <w:r>
        <w:rPr>
          <w:rFonts w:hint="eastAsia" w:ascii="宋体" w:hAnsi="宋体"/>
          <w:szCs w:val="21"/>
        </w:rPr>
        <w:t>提供相同品牌产品的不同供应商参加同一合同项下采购活动的，以其中通过资格审查、符合性审查且报价最低的参加评审，报价相同的，由询价小组</w:t>
      </w:r>
      <w:r>
        <w:rPr>
          <w:rFonts w:ascii="宋体" w:hAnsi="宋体"/>
          <w:szCs w:val="21"/>
        </w:rPr>
        <w:t>在监督人员</w:t>
      </w:r>
      <w:r>
        <w:rPr>
          <w:rFonts w:hint="eastAsia" w:ascii="宋体" w:hAnsi="宋体"/>
          <w:szCs w:val="21"/>
        </w:rPr>
        <w:t>的</w:t>
      </w:r>
      <w:r>
        <w:rPr>
          <w:rFonts w:ascii="宋体" w:hAnsi="宋体"/>
          <w:szCs w:val="21"/>
        </w:rPr>
        <w:t>监督下以抽签方式随机选取一个参加评审的供应商</w:t>
      </w:r>
      <w:r>
        <w:rPr>
          <w:rFonts w:hint="eastAsia" w:ascii="宋体" w:hAnsi="宋体"/>
          <w:szCs w:val="21"/>
        </w:rPr>
        <w:t>，其他作无效处理。</w:t>
      </w:r>
    </w:p>
    <w:p>
      <w:pPr>
        <w:adjustRightInd w:val="0"/>
        <w:snapToGrid w:val="0"/>
        <w:spacing w:line="360" w:lineRule="auto"/>
        <w:ind w:firstLine="420" w:firstLineChars="200"/>
        <w:rPr>
          <w:rFonts w:ascii="宋体" w:hAnsi="宋体"/>
          <w:szCs w:val="21"/>
        </w:rPr>
      </w:pPr>
      <w:r>
        <w:rPr>
          <w:rFonts w:hint="eastAsia" w:ascii="宋体" w:hAnsi="宋体"/>
          <w:szCs w:val="21"/>
        </w:rPr>
        <w:t>非单一产品采购项目中，多家供应商提供的核心产品条目数量</w:t>
      </w:r>
      <w:r>
        <w:rPr>
          <w:rFonts w:ascii="宋体" w:hAnsi="宋体"/>
          <w:szCs w:val="21"/>
        </w:rPr>
        <w:t>超过</w:t>
      </w:r>
      <w:r>
        <w:rPr>
          <w:rFonts w:hint="eastAsia" w:ascii="宋体" w:hAnsi="宋体"/>
          <w:szCs w:val="21"/>
        </w:rPr>
        <w:t>询价</w:t>
      </w:r>
      <w:r>
        <w:rPr>
          <w:rFonts w:ascii="宋体" w:hAnsi="宋体"/>
          <w:szCs w:val="21"/>
        </w:rPr>
        <w:t>文件核心产品</w:t>
      </w:r>
      <w:r>
        <w:rPr>
          <w:rFonts w:hint="eastAsia" w:ascii="宋体" w:hAnsi="宋体"/>
          <w:szCs w:val="21"/>
        </w:rPr>
        <w:t>条目数量</w:t>
      </w:r>
      <w:r>
        <w:rPr>
          <w:rFonts w:ascii="宋体" w:hAnsi="宋体"/>
          <w:szCs w:val="21"/>
        </w:rPr>
        <w:t>的</w:t>
      </w:r>
      <w:r>
        <w:rPr>
          <w:rFonts w:hint="eastAsia" w:ascii="宋体" w:hAnsi="宋体"/>
          <w:szCs w:val="21"/>
        </w:rPr>
        <w:t>50％（计算</w:t>
      </w:r>
      <w:r>
        <w:rPr>
          <w:rFonts w:ascii="宋体" w:hAnsi="宋体"/>
          <w:szCs w:val="21"/>
        </w:rPr>
        <w:t>得数取整）的</w:t>
      </w:r>
      <w:r>
        <w:rPr>
          <w:rFonts w:hint="eastAsia" w:ascii="宋体" w:hAnsi="宋体"/>
          <w:szCs w:val="21"/>
        </w:rPr>
        <w:t>品牌相同视为提供相同品牌产品，按</w:t>
      </w:r>
      <w:r>
        <w:rPr>
          <w:rFonts w:ascii="宋体" w:hAnsi="宋体"/>
          <w:szCs w:val="21"/>
        </w:rPr>
        <w:t>前款规定处理。</w:t>
      </w:r>
    </w:p>
    <w:p>
      <w:pPr>
        <w:adjustRightInd w:val="0"/>
        <w:snapToGrid w:val="0"/>
        <w:spacing w:line="360" w:lineRule="auto"/>
        <w:ind w:firstLine="413" w:firstLineChars="196"/>
        <w:rPr>
          <w:rFonts w:ascii="宋体" w:hAnsi="宋体"/>
          <w:b/>
          <w:szCs w:val="21"/>
        </w:rPr>
      </w:pPr>
      <w:r>
        <w:rPr>
          <w:rFonts w:hint="eastAsia" w:ascii="宋体" w:hAnsi="宋体"/>
          <w:b/>
          <w:szCs w:val="21"/>
        </w:rPr>
        <w:t>（</w:t>
      </w:r>
      <w:r>
        <w:rPr>
          <w:rFonts w:ascii="宋体" w:hAnsi="宋体"/>
          <w:b/>
          <w:szCs w:val="21"/>
        </w:rPr>
        <w:t>2</w:t>
      </w:r>
      <w:r>
        <w:rPr>
          <w:rFonts w:hint="eastAsia" w:ascii="宋体" w:hAnsi="宋体"/>
          <w:b/>
          <w:szCs w:val="21"/>
        </w:rPr>
        <w:t>）利害关系供应商处理。</w:t>
      </w:r>
    </w:p>
    <w:p>
      <w:pPr>
        <w:adjustRightInd w:val="0"/>
        <w:snapToGrid w:val="0"/>
        <w:spacing w:line="360" w:lineRule="auto"/>
        <w:ind w:firstLine="420" w:firstLineChars="200"/>
        <w:rPr>
          <w:rFonts w:ascii="宋体" w:hAnsi="宋体"/>
          <w:szCs w:val="21"/>
        </w:rPr>
      </w:pPr>
      <w:r>
        <w:rPr>
          <w:rFonts w:hint="eastAsia" w:ascii="宋体" w:hAnsi="宋体"/>
          <w:szCs w:val="21"/>
        </w:rPr>
        <w:t>单位负责人为同一人或者存在直接控股、管理关系的不同供应商不得参加同一合同项下的采购活动，否则</w:t>
      </w:r>
      <w:r>
        <w:rPr>
          <w:rFonts w:ascii="宋体" w:hAnsi="宋体"/>
          <w:szCs w:val="21"/>
        </w:rPr>
        <w:t>，均作无效处理</w:t>
      </w:r>
      <w:r>
        <w:rPr>
          <w:rFonts w:hint="eastAsia" w:ascii="宋体" w:hAnsi="宋体"/>
          <w:szCs w:val="21"/>
        </w:rPr>
        <w:t>。</w:t>
      </w:r>
    </w:p>
    <w:p>
      <w:pPr>
        <w:adjustRightInd w:val="0"/>
        <w:snapToGrid w:val="0"/>
        <w:spacing w:line="360" w:lineRule="auto"/>
        <w:ind w:firstLine="422" w:firstLineChars="200"/>
        <w:rPr>
          <w:rFonts w:ascii="宋体" w:hAnsi="宋体"/>
          <w:b/>
          <w:szCs w:val="21"/>
        </w:rPr>
      </w:pPr>
      <w:r>
        <w:rPr>
          <w:rFonts w:hint="eastAsia" w:ascii="宋体" w:hAnsi="宋体"/>
          <w:b/>
          <w:szCs w:val="21"/>
        </w:rPr>
        <w:t>（</w:t>
      </w:r>
      <w:r>
        <w:rPr>
          <w:rFonts w:ascii="宋体" w:hAnsi="宋体"/>
          <w:b/>
          <w:szCs w:val="21"/>
        </w:rPr>
        <w:t>3</w:t>
      </w:r>
      <w:r>
        <w:rPr>
          <w:rFonts w:hint="eastAsia" w:ascii="宋体" w:hAnsi="宋体"/>
          <w:b/>
          <w:szCs w:val="21"/>
        </w:rPr>
        <w:t>）前期参与供应商处理。</w:t>
      </w:r>
    </w:p>
    <w:p>
      <w:pPr>
        <w:adjustRightInd w:val="0"/>
        <w:snapToGrid w:val="0"/>
        <w:spacing w:line="360" w:lineRule="auto"/>
        <w:ind w:firstLine="420" w:firstLineChars="200"/>
        <w:rPr>
          <w:rFonts w:ascii="宋体" w:hAnsi="宋体"/>
          <w:szCs w:val="21"/>
        </w:rPr>
      </w:pPr>
      <w:r>
        <w:rPr>
          <w:rFonts w:hint="eastAsia" w:ascii="宋体" w:hAnsi="宋体"/>
          <w:szCs w:val="21"/>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采购合同等实质性内容条款的，视同为采购项目提供规范编制。</w:t>
      </w:r>
    </w:p>
    <w:p>
      <w:pPr>
        <w:adjustRightInd w:val="0"/>
        <w:snapToGrid w:val="0"/>
        <w:spacing w:line="360" w:lineRule="auto"/>
        <w:ind w:firstLine="422" w:firstLineChars="200"/>
        <w:rPr>
          <w:rFonts w:ascii="宋体" w:hAnsi="宋体"/>
          <w:b/>
          <w:szCs w:val="21"/>
        </w:rPr>
      </w:pPr>
      <w:r>
        <w:rPr>
          <w:rFonts w:hint="eastAsia" w:ascii="宋体" w:hAnsi="宋体"/>
          <w:b/>
          <w:szCs w:val="21"/>
        </w:rPr>
        <w:t>（</w:t>
      </w:r>
      <w:r>
        <w:rPr>
          <w:rFonts w:ascii="宋体" w:hAnsi="宋体"/>
          <w:b/>
          <w:szCs w:val="21"/>
        </w:rPr>
        <w:t>4</w:t>
      </w:r>
      <w:r>
        <w:rPr>
          <w:rFonts w:hint="eastAsia" w:ascii="宋体" w:hAnsi="宋体"/>
          <w:b/>
          <w:szCs w:val="21"/>
        </w:rPr>
        <w:t>）利害关系代理人处理。</w:t>
      </w:r>
    </w:p>
    <w:p>
      <w:pPr>
        <w:adjustRightInd w:val="0"/>
        <w:snapToGrid w:val="0"/>
        <w:spacing w:line="360" w:lineRule="auto"/>
        <w:ind w:firstLine="420" w:firstLineChars="200"/>
        <w:rPr>
          <w:rFonts w:ascii="宋体" w:hAnsi="宋体"/>
          <w:szCs w:val="21"/>
        </w:rPr>
      </w:pPr>
      <w:r>
        <w:rPr>
          <w:rFonts w:hint="eastAsia" w:ascii="宋体" w:hAnsi="宋体"/>
          <w:szCs w:val="21"/>
        </w:rPr>
        <w:t>2家以上的供应商不得在同一合同项下的采购项目中，同时委托同一个自然人、同一家庭的人员、同一单位的人员作为其代理人，否则，其响应文件均作为无效处理。</w:t>
      </w:r>
    </w:p>
    <w:p>
      <w:pPr>
        <w:pStyle w:val="5"/>
        <w:adjustRightInd w:val="0"/>
        <w:snapToGrid w:val="0"/>
        <w:spacing w:before="0" w:after="0" w:line="360" w:lineRule="auto"/>
        <w:rPr>
          <w:rFonts w:ascii="宋体" w:hAnsi="宋体"/>
          <w:bCs w:val="0"/>
          <w:szCs w:val="28"/>
        </w:rPr>
      </w:pPr>
      <w:bookmarkStart w:id="33" w:name="_Toc112257046"/>
      <w:r>
        <w:rPr>
          <w:rFonts w:hint="eastAsia" w:ascii="宋体" w:hAnsi="宋体"/>
          <w:bCs w:val="0"/>
          <w:szCs w:val="28"/>
        </w:rPr>
        <w:t>三、磋商文件</w:t>
      </w:r>
      <w:bookmarkEnd w:id="27"/>
      <w:bookmarkEnd w:id="28"/>
      <w:bookmarkEnd w:id="29"/>
      <w:bookmarkEnd w:id="30"/>
      <w:bookmarkEnd w:id="31"/>
      <w:bookmarkEnd w:id="32"/>
      <w:bookmarkEnd w:id="33"/>
    </w:p>
    <w:p>
      <w:pPr>
        <w:adjustRightInd w:val="0"/>
        <w:snapToGrid w:val="0"/>
        <w:spacing w:line="360" w:lineRule="auto"/>
        <w:ind w:firstLine="482" w:firstLineChars="200"/>
        <w:rPr>
          <w:rFonts w:ascii="宋体" w:hAnsi="宋体"/>
          <w:b/>
          <w:sz w:val="24"/>
        </w:rPr>
      </w:pPr>
      <w:bookmarkStart w:id="34" w:name="_Toc183682347"/>
      <w:bookmarkStart w:id="35" w:name="_Toc183582210"/>
      <w:bookmarkStart w:id="36" w:name="_Toc217446039"/>
      <w:r>
        <w:rPr>
          <w:rFonts w:hint="eastAsia" w:ascii="宋体" w:hAnsi="宋体"/>
          <w:b/>
          <w:sz w:val="24"/>
        </w:rPr>
        <w:t>6、竞争性磋商文件的构成</w:t>
      </w:r>
      <w:bookmarkEnd w:id="34"/>
      <w:bookmarkEnd w:id="35"/>
      <w:bookmarkEnd w:id="36"/>
    </w:p>
    <w:p>
      <w:pPr>
        <w:adjustRightInd w:val="0"/>
        <w:snapToGrid w:val="0"/>
        <w:spacing w:line="360" w:lineRule="auto"/>
        <w:ind w:firstLine="420" w:firstLineChars="200"/>
        <w:rPr>
          <w:rFonts w:ascii="宋体" w:hAnsi="宋体"/>
        </w:rPr>
      </w:pPr>
      <w:r>
        <w:rPr>
          <w:rFonts w:hint="eastAsia" w:ascii="宋体" w:hAnsi="宋体"/>
        </w:rPr>
        <w:t>磋商文件是供应商编制响应文件和专家评审的重要依据，具有准法律文件性质。磋商文件用以阐明磋商项目所需的资质、技术、服务、报价、磋商、</w:t>
      </w:r>
      <w:r>
        <w:rPr>
          <w:rFonts w:ascii="宋体" w:hAnsi="宋体"/>
        </w:rPr>
        <w:t>评审</w:t>
      </w:r>
      <w:r>
        <w:rPr>
          <w:rFonts w:hint="eastAsia" w:ascii="宋体" w:hAnsi="宋体"/>
        </w:rPr>
        <w:t>程序、有关规定和注意事项以及合同主要条款等。</w:t>
      </w:r>
    </w:p>
    <w:p>
      <w:pPr>
        <w:adjustRightInd w:val="0"/>
        <w:snapToGrid w:val="0"/>
        <w:spacing w:line="360" w:lineRule="auto"/>
        <w:ind w:firstLine="482" w:firstLineChars="200"/>
        <w:rPr>
          <w:rFonts w:ascii="宋体" w:hAnsi="宋体"/>
          <w:b/>
          <w:sz w:val="24"/>
        </w:rPr>
      </w:pPr>
      <w:bookmarkStart w:id="37" w:name="_Toc183582211"/>
      <w:bookmarkStart w:id="38" w:name="_Toc183682348"/>
      <w:bookmarkStart w:id="39" w:name="_Toc217446040"/>
      <w:r>
        <w:rPr>
          <w:rFonts w:hint="eastAsia" w:ascii="宋体" w:hAnsi="宋体"/>
          <w:b/>
          <w:sz w:val="24"/>
        </w:rPr>
        <w:t>7、磋商文件的澄清</w:t>
      </w:r>
      <w:bookmarkEnd w:id="37"/>
      <w:bookmarkEnd w:id="38"/>
      <w:r>
        <w:rPr>
          <w:rFonts w:hint="eastAsia" w:ascii="宋体" w:hAnsi="宋体"/>
          <w:b/>
          <w:sz w:val="24"/>
        </w:rPr>
        <w:t>和修改</w:t>
      </w:r>
      <w:bookmarkEnd w:id="39"/>
    </w:p>
    <w:p>
      <w:pPr>
        <w:adjustRightInd w:val="0"/>
        <w:snapToGrid w:val="0"/>
        <w:spacing w:line="360" w:lineRule="auto"/>
        <w:ind w:firstLine="420" w:firstLineChars="200"/>
        <w:rPr>
          <w:rFonts w:ascii="宋体" w:hAnsi="宋体"/>
        </w:rPr>
      </w:pPr>
      <w:r>
        <w:rPr>
          <w:rFonts w:hint="eastAsia" w:ascii="宋体" w:hAnsi="宋体"/>
        </w:rPr>
        <w:t>（1）在响应文件</w:t>
      </w:r>
      <w:r>
        <w:rPr>
          <w:rFonts w:ascii="宋体" w:hAnsi="宋体"/>
        </w:rPr>
        <w:t>递交</w:t>
      </w:r>
      <w:r>
        <w:rPr>
          <w:rFonts w:hint="eastAsia" w:ascii="宋体" w:hAnsi="宋体"/>
        </w:rPr>
        <w:t>截止时间前，采购单位可以对磋商文件进行澄清或者修改。</w:t>
      </w:r>
    </w:p>
    <w:p>
      <w:pPr>
        <w:adjustRightInd w:val="0"/>
        <w:snapToGrid w:val="0"/>
        <w:spacing w:line="360" w:lineRule="auto"/>
        <w:ind w:firstLine="420" w:firstLineChars="200"/>
        <w:rPr>
          <w:rFonts w:ascii="宋体" w:hAnsi="宋体"/>
        </w:rPr>
      </w:pPr>
      <w:r>
        <w:rPr>
          <w:rFonts w:hint="eastAsia" w:ascii="宋体" w:hAnsi="宋体"/>
        </w:rPr>
        <w:t>（2）采购单位对已发出的竞争性磋商文件进行必要澄清或修改的，将在四川省科源工程技术测试中心官网上发布更正公告。该澄清或者修改的内容为磋商文件的组成部分，澄清或者修改的内容可能影响响应文件编制的，采购单位发布更正公告的时间应当在响应文件递交截止时间不少于3个工作日前，不足上述时间的，应当顺延递交响应文件截止时间。请相关供应商在提交响应文件前在四川省科源工程技术测试中心官网上查看更正公告，因供应商未查收更正公告内容而造成损失的，由供应商自行承担。</w:t>
      </w:r>
    </w:p>
    <w:p>
      <w:pPr>
        <w:adjustRightInd w:val="0"/>
        <w:snapToGrid w:val="0"/>
        <w:spacing w:line="360" w:lineRule="auto"/>
        <w:ind w:firstLine="420" w:firstLineChars="200"/>
        <w:rPr>
          <w:rFonts w:ascii="宋体" w:hAnsi="宋体"/>
        </w:rPr>
      </w:pPr>
      <w:r>
        <w:rPr>
          <w:rFonts w:hint="eastAsia" w:ascii="宋体" w:hAnsi="宋体"/>
        </w:rPr>
        <w:t>（3）供应商认为需要对磋商文件进行澄清或者修改的，可以以书面形式向采购单位提出申请。</w:t>
      </w:r>
    </w:p>
    <w:p>
      <w:pPr>
        <w:adjustRightInd w:val="0"/>
        <w:snapToGrid w:val="0"/>
        <w:spacing w:line="360" w:lineRule="auto"/>
        <w:ind w:firstLine="482" w:firstLineChars="200"/>
        <w:rPr>
          <w:rFonts w:ascii="宋体" w:hAnsi="宋体"/>
          <w:b/>
          <w:sz w:val="24"/>
        </w:rPr>
      </w:pPr>
      <w:bookmarkStart w:id="40" w:name="_Toc208848971"/>
      <w:bookmarkStart w:id="41" w:name="_Toc217446041"/>
      <w:r>
        <w:rPr>
          <w:rFonts w:hint="eastAsia" w:ascii="宋体" w:hAnsi="宋体"/>
          <w:b/>
          <w:sz w:val="24"/>
        </w:rPr>
        <w:t>8、答疑会和现场考察</w:t>
      </w:r>
      <w:bookmarkEnd w:id="40"/>
      <w:bookmarkEnd w:id="41"/>
    </w:p>
    <w:p>
      <w:pPr>
        <w:adjustRightInd w:val="0"/>
        <w:snapToGrid w:val="0"/>
        <w:spacing w:line="360" w:lineRule="auto"/>
        <w:ind w:firstLine="420" w:firstLineChars="200"/>
        <w:rPr>
          <w:rFonts w:ascii="宋体" w:hAnsi="宋体"/>
        </w:rPr>
      </w:pPr>
      <w:r>
        <w:rPr>
          <w:rFonts w:hint="eastAsia" w:ascii="宋体" w:hAnsi="宋体"/>
        </w:rPr>
        <w:t>（1）本项目不召开答疑会和现场考察。</w:t>
      </w:r>
    </w:p>
    <w:p>
      <w:pPr>
        <w:adjustRightInd w:val="0"/>
        <w:snapToGrid w:val="0"/>
        <w:spacing w:line="360" w:lineRule="auto"/>
        <w:ind w:firstLine="420" w:firstLineChars="200"/>
        <w:rPr>
          <w:rFonts w:ascii="宋体" w:hAnsi="宋体"/>
        </w:rPr>
      </w:pPr>
      <w:r>
        <w:rPr>
          <w:rFonts w:hint="eastAsia" w:ascii="宋体" w:hAnsi="宋体"/>
        </w:rPr>
        <w:t>（2）供应商可自行考察现场，所发生的一切费用由供应商自行承担。</w:t>
      </w:r>
    </w:p>
    <w:p>
      <w:pPr>
        <w:pStyle w:val="5"/>
        <w:adjustRightInd w:val="0"/>
        <w:snapToGrid w:val="0"/>
        <w:spacing w:before="0" w:after="0" w:line="360" w:lineRule="auto"/>
        <w:rPr>
          <w:rFonts w:ascii="宋体" w:hAnsi="宋体"/>
          <w:bCs w:val="0"/>
          <w:szCs w:val="28"/>
        </w:rPr>
      </w:pPr>
      <w:bookmarkStart w:id="42" w:name="_Toc183582214"/>
      <w:bookmarkStart w:id="43" w:name="_Toc112257047"/>
      <w:bookmarkStart w:id="44" w:name="_Toc183682351"/>
      <w:bookmarkStart w:id="45" w:name="_Toc518487349"/>
      <w:bookmarkStart w:id="46" w:name="_Toc77400780"/>
      <w:bookmarkStart w:id="47" w:name="_Toc217446042"/>
      <w:bookmarkStart w:id="48" w:name="_Toc89075876"/>
      <w:r>
        <w:rPr>
          <w:rFonts w:hint="eastAsia" w:ascii="宋体" w:hAnsi="宋体"/>
          <w:bCs w:val="0"/>
          <w:szCs w:val="28"/>
        </w:rPr>
        <w:t>四、响应文件</w:t>
      </w:r>
      <w:bookmarkEnd w:id="42"/>
      <w:bookmarkEnd w:id="43"/>
      <w:bookmarkEnd w:id="44"/>
      <w:bookmarkEnd w:id="45"/>
      <w:bookmarkEnd w:id="46"/>
      <w:bookmarkEnd w:id="47"/>
      <w:bookmarkEnd w:id="48"/>
    </w:p>
    <w:p>
      <w:pPr>
        <w:adjustRightInd w:val="0"/>
        <w:snapToGrid w:val="0"/>
        <w:spacing w:line="360" w:lineRule="auto"/>
        <w:ind w:firstLine="482" w:firstLineChars="200"/>
        <w:rPr>
          <w:rFonts w:ascii="宋体" w:hAnsi="宋体"/>
          <w:b/>
          <w:bCs/>
          <w:sz w:val="24"/>
        </w:rPr>
      </w:pPr>
      <w:bookmarkStart w:id="49" w:name="_Toc183682352"/>
      <w:bookmarkStart w:id="50" w:name="_Toc183582215"/>
      <w:bookmarkStart w:id="51" w:name="_Toc217446043"/>
      <w:r>
        <w:rPr>
          <w:rFonts w:hint="eastAsia" w:ascii="宋体" w:hAnsi="宋体"/>
          <w:b/>
          <w:bCs/>
          <w:sz w:val="24"/>
        </w:rPr>
        <w:t>9、响应文件的语言</w:t>
      </w:r>
      <w:bookmarkEnd w:id="49"/>
      <w:bookmarkEnd w:id="50"/>
      <w:bookmarkEnd w:id="51"/>
    </w:p>
    <w:p>
      <w:pPr>
        <w:adjustRightInd w:val="0"/>
        <w:snapToGrid w:val="0"/>
        <w:spacing w:line="360" w:lineRule="auto"/>
        <w:ind w:firstLine="420" w:firstLineChars="200"/>
        <w:rPr>
          <w:rFonts w:ascii="宋体" w:hAnsi="宋体"/>
        </w:rPr>
      </w:pPr>
      <w:bookmarkStart w:id="52" w:name="_Toc183582216"/>
      <w:bookmarkStart w:id="53" w:name="_Toc183682353"/>
      <w:bookmarkStart w:id="54" w:name="_Toc217446044"/>
      <w:r>
        <w:rPr>
          <w:rFonts w:hint="eastAsia" w:ascii="宋体" w:hAnsi="宋体"/>
        </w:rPr>
        <w:t>（1）供应商提交的响应文件以及供应商与采购单位就有关本次采购的所有来往书面文件均须使用中文。响应文件中如附有外文资料，必须逐一对应翻译成中文并加盖供应商公章后附在相关外文资料后面，否则，所提供的外文资料将可能被视为无效材料。</w:t>
      </w:r>
    </w:p>
    <w:p>
      <w:pPr>
        <w:adjustRightInd w:val="0"/>
        <w:snapToGrid w:val="0"/>
        <w:spacing w:line="360" w:lineRule="auto"/>
        <w:ind w:firstLine="420" w:firstLineChars="200"/>
        <w:rPr>
          <w:rFonts w:ascii="宋体" w:hAnsi="宋体"/>
        </w:rPr>
      </w:pPr>
      <w:r>
        <w:rPr>
          <w:rFonts w:hint="eastAsia" w:ascii="宋体" w:hAnsi="宋体"/>
        </w:rPr>
        <w:t>（2）翻译的中文资料与外文资料如果出现差异和矛盾时，以中文为准。涉嫌虚假响应的按照相关法律法规处理。</w:t>
      </w:r>
    </w:p>
    <w:p>
      <w:pPr>
        <w:adjustRightInd w:val="0"/>
        <w:snapToGrid w:val="0"/>
        <w:spacing w:line="360" w:lineRule="auto"/>
        <w:ind w:firstLine="482" w:firstLineChars="200"/>
        <w:rPr>
          <w:rFonts w:ascii="宋体" w:hAnsi="宋体"/>
        </w:rPr>
      </w:pPr>
      <w:r>
        <w:rPr>
          <w:rFonts w:hint="eastAsia" w:ascii="宋体" w:hAnsi="宋体"/>
          <w:b/>
          <w:sz w:val="24"/>
        </w:rPr>
        <w:t>10、计量单位</w:t>
      </w:r>
      <w:bookmarkEnd w:id="52"/>
      <w:bookmarkEnd w:id="53"/>
      <w:bookmarkEnd w:id="54"/>
    </w:p>
    <w:p>
      <w:pPr>
        <w:adjustRightInd w:val="0"/>
        <w:snapToGrid w:val="0"/>
        <w:spacing w:line="360" w:lineRule="auto"/>
        <w:ind w:firstLine="420" w:firstLineChars="200"/>
        <w:rPr>
          <w:rFonts w:ascii="宋体" w:hAnsi="宋体"/>
        </w:rPr>
      </w:pPr>
      <w:r>
        <w:rPr>
          <w:rFonts w:hint="eastAsia" w:ascii="宋体" w:hAnsi="宋体"/>
        </w:rPr>
        <w:t>除磋商文件中另有规定外，本次采购项目所有合同项下的响应文件均采用国家法定的计量单位。</w:t>
      </w:r>
    </w:p>
    <w:p>
      <w:pPr>
        <w:adjustRightInd w:val="0"/>
        <w:snapToGrid w:val="0"/>
        <w:spacing w:line="360" w:lineRule="auto"/>
        <w:ind w:firstLine="482" w:firstLineChars="200"/>
        <w:rPr>
          <w:rFonts w:ascii="宋体" w:hAnsi="宋体"/>
          <w:b/>
          <w:sz w:val="24"/>
        </w:rPr>
      </w:pPr>
      <w:bookmarkStart w:id="55" w:name="_Toc217446045"/>
      <w:r>
        <w:rPr>
          <w:rFonts w:hint="eastAsia" w:ascii="宋体" w:hAnsi="宋体"/>
          <w:b/>
          <w:sz w:val="24"/>
        </w:rPr>
        <w:t>11、货币</w:t>
      </w:r>
      <w:bookmarkEnd w:id="55"/>
      <w:r>
        <w:rPr>
          <w:rFonts w:hint="eastAsia" w:ascii="宋体" w:hAnsi="宋体"/>
          <w:b/>
          <w:sz w:val="24"/>
        </w:rPr>
        <w:t>类型</w:t>
      </w:r>
    </w:p>
    <w:p>
      <w:pPr>
        <w:adjustRightInd w:val="0"/>
        <w:snapToGrid w:val="0"/>
        <w:spacing w:line="360" w:lineRule="auto"/>
        <w:ind w:firstLine="420" w:firstLineChars="200"/>
        <w:rPr>
          <w:rFonts w:ascii="宋体" w:hAnsi="宋体"/>
        </w:rPr>
      </w:pPr>
      <w:r>
        <w:rPr>
          <w:rFonts w:hint="eastAsia" w:ascii="宋体" w:hAnsi="宋体"/>
        </w:rPr>
        <w:t>本次采购项目的响应文件均以人民币报价。</w:t>
      </w:r>
    </w:p>
    <w:p>
      <w:pPr>
        <w:adjustRightInd w:val="0"/>
        <w:snapToGrid w:val="0"/>
        <w:spacing w:line="360" w:lineRule="auto"/>
        <w:ind w:firstLine="482" w:firstLineChars="200"/>
        <w:rPr>
          <w:rFonts w:ascii="宋体" w:hAnsi="宋体"/>
          <w:b/>
          <w:sz w:val="24"/>
        </w:rPr>
      </w:pPr>
      <w:bookmarkStart w:id="56" w:name="_Toc217446046"/>
      <w:bookmarkStart w:id="57" w:name="_Toc217446047"/>
      <w:bookmarkStart w:id="58" w:name="_Toc308164797"/>
      <w:r>
        <w:rPr>
          <w:rFonts w:hint="eastAsia" w:ascii="宋体" w:hAnsi="宋体"/>
          <w:b/>
          <w:sz w:val="24"/>
        </w:rPr>
        <w:t>12、联合体</w:t>
      </w:r>
      <w:bookmarkEnd w:id="56"/>
      <w:r>
        <w:rPr>
          <w:rFonts w:hint="eastAsia" w:ascii="宋体" w:hAnsi="宋体"/>
          <w:b/>
          <w:sz w:val="24"/>
        </w:rPr>
        <w:t>供应商</w:t>
      </w:r>
    </w:p>
    <w:p>
      <w:pPr>
        <w:adjustRightInd w:val="0"/>
        <w:snapToGrid w:val="0"/>
        <w:spacing w:line="360" w:lineRule="auto"/>
        <w:ind w:firstLine="420" w:firstLineChars="200"/>
        <w:rPr>
          <w:rFonts w:ascii="宋体" w:hAnsi="宋体"/>
        </w:rPr>
      </w:pPr>
      <w:r>
        <w:rPr>
          <w:rFonts w:hint="eastAsia" w:ascii="宋体" w:hAnsi="宋体"/>
        </w:rPr>
        <w:t>本项目不接受联合体参与采购</w:t>
      </w:r>
      <w:r>
        <w:rPr>
          <w:rFonts w:ascii="宋体" w:hAnsi="宋体"/>
        </w:rPr>
        <w:t>。</w:t>
      </w:r>
    </w:p>
    <w:p>
      <w:pPr>
        <w:adjustRightInd w:val="0"/>
        <w:snapToGrid w:val="0"/>
        <w:spacing w:line="360" w:lineRule="auto"/>
        <w:ind w:firstLine="472" w:firstLineChars="196"/>
        <w:rPr>
          <w:rFonts w:ascii="宋体" w:hAnsi="宋体"/>
          <w:b/>
          <w:bCs/>
          <w:sz w:val="24"/>
        </w:rPr>
      </w:pPr>
      <w:r>
        <w:rPr>
          <w:rFonts w:hint="eastAsia" w:ascii="宋体" w:hAnsi="宋体"/>
          <w:b/>
          <w:sz w:val="24"/>
        </w:rPr>
        <w:t>13、知识产权</w:t>
      </w:r>
      <w:bookmarkEnd w:id="57"/>
      <w:bookmarkEnd w:id="58"/>
    </w:p>
    <w:p>
      <w:pPr>
        <w:adjustRightInd w:val="0"/>
        <w:snapToGrid w:val="0"/>
        <w:spacing w:line="360" w:lineRule="auto"/>
        <w:ind w:firstLine="420" w:firstLineChars="200"/>
        <w:rPr>
          <w:rFonts w:ascii="宋体" w:hAnsi="宋体"/>
        </w:rPr>
      </w:pPr>
      <w:r>
        <w:rPr>
          <w:rFonts w:hint="eastAsia" w:ascii="宋体" w:hAnsi="宋体"/>
        </w:rPr>
        <w:t>（1）供应商应保证本项目任何产品和服务（包括部分使用）在使用时不会产生因第三方提出侵犯其专利权、商标权或其它知识产权而引起的法律和经济纠纷，如因专利权、商标权或其它知识产权而引起法律和经济纠纷，由供应商承担所有相关责任。</w:t>
      </w:r>
    </w:p>
    <w:p>
      <w:pPr>
        <w:adjustRightInd w:val="0"/>
        <w:snapToGrid w:val="0"/>
        <w:spacing w:line="360" w:lineRule="auto"/>
        <w:ind w:firstLine="420" w:firstLineChars="200"/>
        <w:rPr>
          <w:rFonts w:ascii="宋体" w:hAnsi="宋体"/>
        </w:rPr>
      </w:pPr>
      <w:r>
        <w:rPr>
          <w:rFonts w:hint="eastAsia" w:ascii="宋体" w:hAnsi="宋体"/>
        </w:rPr>
        <w:t>（2）采购人享有本项目实施过程中产生的知识成果及知识产权。</w:t>
      </w:r>
    </w:p>
    <w:p>
      <w:pPr>
        <w:adjustRightInd w:val="0"/>
        <w:snapToGrid w:val="0"/>
        <w:spacing w:line="360" w:lineRule="auto"/>
        <w:ind w:firstLine="420" w:firstLineChars="200"/>
        <w:rPr>
          <w:rFonts w:ascii="宋体" w:hAnsi="宋体"/>
        </w:rPr>
      </w:pPr>
      <w:r>
        <w:rPr>
          <w:rFonts w:hint="eastAsia" w:ascii="宋体" w:hAnsi="宋体"/>
        </w:rPr>
        <w:t>（3）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adjustRightInd w:val="0"/>
        <w:snapToGrid w:val="0"/>
        <w:spacing w:line="360" w:lineRule="auto"/>
        <w:ind w:firstLine="420" w:firstLineChars="200"/>
        <w:rPr>
          <w:rFonts w:ascii="宋体" w:hAnsi="宋体"/>
        </w:rPr>
      </w:pPr>
      <w:r>
        <w:rPr>
          <w:rFonts w:hint="eastAsia" w:ascii="宋体" w:hAnsi="宋体"/>
        </w:rPr>
        <w:t xml:space="preserve">（4）如采用供应商所不拥有的知识产权，则在磋商报价中必须包括合法获取该知识产权的相关费用。 </w:t>
      </w:r>
    </w:p>
    <w:p>
      <w:pPr>
        <w:adjustRightInd w:val="0"/>
        <w:snapToGrid w:val="0"/>
        <w:spacing w:line="360" w:lineRule="auto"/>
        <w:ind w:firstLine="482" w:firstLineChars="200"/>
        <w:rPr>
          <w:rFonts w:ascii="宋体" w:hAnsi="宋体"/>
          <w:b/>
          <w:sz w:val="24"/>
        </w:rPr>
      </w:pPr>
      <w:bookmarkStart w:id="59" w:name="_Toc217446048"/>
      <w:bookmarkStart w:id="60" w:name="_Toc183582217"/>
      <w:bookmarkStart w:id="61" w:name="_Toc308164798"/>
      <w:bookmarkStart w:id="62" w:name="_Toc183682354"/>
      <w:r>
        <w:rPr>
          <w:rFonts w:hint="eastAsia" w:ascii="宋体" w:hAnsi="宋体"/>
          <w:b/>
          <w:sz w:val="24"/>
        </w:rPr>
        <w:t>14、响应文件的组成</w:t>
      </w:r>
      <w:bookmarkEnd w:id="59"/>
      <w:bookmarkEnd w:id="60"/>
      <w:bookmarkEnd w:id="61"/>
      <w:bookmarkEnd w:id="62"/>
    </w:p>
    <w:p>
      <w:pPr>
        <w:adjustRightInd w:val="0"/>
        <w:snapToGrid w:val="0"/>
        <w:spacing w:line="360" w:lineRule="auto"/>
        <w:ind w:firstLine="420" w:firstLineChars="200"/>
        <w:rPr>
          <w:rFonts w:ascii="宋体" w:hAnsi="宋体"/>
        </w:rPr>
      </w:pPr>
      <w:r>
        <w:rPr>
          <w:rFonts w:hint="eastAsia" w:ascii="宋体" w:hAnsi="宋体"/>
        </w:rPr>
        <w:t>供应商应按照磋商文件的规定和要求编制响应文件。供应商编制的响应文件应包括的内容</w:t>
      </w:r>
      <w:r>
        <w:rPr>
          <w:rFonts w:ascii="宋体" w:hAnsi="宋体"/>
        </w:rPr>
        <w:t>见</w:t>
      </w:r>
      <w:r>
        <w:rPr>
          <w:rFonts w:hint="eastAsia" w:ascii="宋体" w:hAnsi="宋体"/>
        </w:rPr>
        <w:t>本</w:t>
      </w:r>
      <w:r>
        <w:rPr>
          <w:rFonts w:ascii="宋体" w:hAnsi="宋体"/>
        </w:rPr>
        <w:t>文件第三章</w:t>
      </w:r>
      <w:r>
        <w:rPr>
          <w:rFonts w:hint="eastAsia" w:ascii="宋体" w:hAnsi="宋体"/>
        </w:rPr>
        <w:t>。</w:t>
      </w:r>
    </w:p>
    <w:p>
      <w:pPr>
        <w:adjustRightInd w:val="0"/>
        <w:snapToGrid w:val="0"/>
        <w:spacing w:line="360" w:lineRule="auto"/>
        <w:ind w:firstLine="482" w:firstLineChars="200"/>
        <w:rPr>
          <w:rFonts w:ascii="宋体" w:hAnsi="宋体"/>
          <w:b/>
          <w:sz w:val="24"/>
        </w:rPr>
      </w:pPr>
      <w:bookmarkStart w:id="63" w:name="_Toc217446049"/>
      <w:bookmarkStart w:id="64" w:name="_Toc308164799"/>
      <w:bookmarkStart w:id="65" w:name="_Toc183682355"/>
      <w:bookmarkStart w:id="66" w:name="_Toc183582218"/>
      <w:r>
        <w:rPr>
          <w:rFonts w:hint="eastAsia" w:ascii="宋体" w:hAnsi="宋体"/>
          <w:b/>
          <w:sz w:val="24"/>
        </w:rPr>
        <w:t>15、响应文件格式</w:t>
      </w:r>
      <w:bookmarkEnd w:id="63"/>
      <w:bookmarkEnd w:id="64"/>
      <w:bookmarkEnd w:id="65"/>
      <w:bookmarkEnd w:id="66"/>
    </w:p>
    <w:p>
      <w:pPr>
        <w:adjustRightInd w:val="0"/>
        <w:snapToGrid w:val="0"/>
        <w:spacing w:line="360" w:lineRule="auto"/>
        <w:ind w:firstLine="420" w:firstLineChars="200"/>
        <w:rPr>
          <w:rFonts w:ascii="宋体" w:hAnsi="宋体"/>
        </w:rPr>
      </w:pPr>
      <w:r>
        <w:rPr>
          <w:rFonts w:hint="eastAsia" w:ascii="宋体" w:hAnsi="宋体"/>
        </w:rPr>
        <w:t>（1</w:t>
      </w:r>
      <w:r>
        <w:rPr>
          <w:rFonts w:ascii="宋体" w:hAnsi="宋体"/>
        </w:rPr>
        <w:t>）</w:t>
      </w:r>
      <w:r>
        <w:rPr>
          <w:rFonts w:hint="eastAsia" w:ascii="宋体" w:hAnsi="宋体"/>
        </w:rPr>
        <w:t xml:space="preserve"> 供应商应当执行本文件第三章的规定要求。</w:t>
      </w:r>
    </w:p>
    <w:p>
      <w:pPr>
        <w:adjustRightInd w:val="0"/>
        <w:snapToGrid w:val="0"/>
        <w:spacing w:line="360" w:lineRule="auto"/>
        <w:ind w:firstLine="420" w:firstLineChars="200"/>
        <w:rPr>
          <w:rFonts w:ascii="宋体" w:hAnsi="宋体"/>
        </w:rPr>
      </w:pPr>
      <w:r>
        <w:rPr>
          <w:rFonts w:hint="eastAsia" w:ascii="宋体" w:hAnsi="宋体"/>
        </w:rPr>
        <w:t>（2） 对于没有格式要求的部分由供应商自行编写。</w:t>
      </w:r>
    </w:p>
    <w:p>
      <w:pPr>
        <w:adjustRightInd w:val="0"/>
        <w:snapToGrid w:val="0"/>
        <w:spacing w:line="360" w:lineRule="auto"/>
        <w:ind w:firstLine="482" w:firstLineChars="200"/>
        <w:rPr>
          <w:rFonts w:ascii="宋体" w:hAnsi="宋体"/>
          <w:b/>
          <w:sz w:val="24"/>
        </w:rPr>
      </w:pPr>
      <w:bookmarkStart w:id="67" w:name="_Toc183582223"/>
      <w:bookmarkStart w:id="68" w:name="_Toc183682360"/>
      <w:bookmarkStart w:id="69" w:name="_Toc217446050"/>
      <w:bookmarkStart w:id="70" w:name="_Toc308164800"/>
      <w:r>
        <w:rPr>
          <w:rFonts w:hint="eastAsia" w:ascii="宋体" w:hAnsi="宋体"/>
          <w:b/>
          <w:bCs/>
          <w:sz w:val="24"/>
        </w:rPr>
        <w:t>16、磋商保证金</w:t>
      </w:r>
      <w:bookmarkEnd w:id="67"/>
      <w:bookmarkEnd w:id="68"/>
      <w:bookmarkEnd w:id="69"/>
      <w:bookmarkEnd w:id="70"/>
      <w:r>
        <w:rPr>
          <w:rFonts w:hint="eastAsia" w:ascii="宋体" w:hAnsi="宋体"/>
          <w:b/>
          <w:bCs/>
          <w:sz w:val="24"/>
        </w:rPr>
        <w:t>(本</w:t>
      </w:r>
      <w:r>
        <w:rPr>
          <w:rFonts w:ascii="宋体" w:hAnsi="宋体"/>
          <w:b/>
          <w:bCs/>
          <w:sz w:val="24"/>
        </w:rPr>
        <w:t>项目不</w:t>
      </w:r>
      <w:r>
        <w:rPr>
          <w:rFonts w:hint="eastAsia" w:ascii="宋体" w:hAnsi="宋体"/>
          <w:b/>
          <w:bCs/>
          <w:sz w:val="24"/>
        </w:rPr>
        <w:t>缴纳)</w:t>
      </w:r>
    </w:p>
    <w:p>
      <w:pPr>
        <w:adjustRightInd w:val="0"/>
        <w:snapToGrid w:val="0"/>
        <w:spacing w:line="360" w:lineRule="auto"/>
        <w:ind w:firstLine="602" w:firstLineChars="250"/>
        <w:rPr>
          <w:rFonts w:ascii="宋体" w:hAnsi="宋体"/>
          <w:b/>
          <w:bCs/>
          <w:sz w:val="24"/>
        </w:rPr>
      </w:pPr>
      <w:bookmarkStart w:id="71" w:name="_Toc183682361"/>
      <w:bookmarkStart w:id="72" w:name="_Toc308164801"/>
      <w:bookmarkStart w:id="73" w:name="_Toc217446051"/>
      <w:bookmarkStart w:id="74" w:name="_Toc183582224"/>
      <w:r>
        <w:rPr>
          <w:rFonts w:hint="eastAsia" w:ascii="宋体" w:hAnsi="宋体"/>
          <w:b/>
          <w:bCs/>
          <w:sz w:val="24"/>
        </w:rPr>
        <w:t>17、磋商有效期</w:t>
      </w:r>
      <w:bookmarkEnd w:id="71"/>
      <w:bookmarkEnd w:id="72"/>
      <w:bookmarkEnd w:id="73"/>
      <w:bookmarkEnd w:id="74"/>
    </w:p>
    <w:p>
      <w:pPr>
        <w:adjustRightInd w:val="0"/>
        <w:snapToGrid w:val="0"/>
        <w:spacing w:line="360" w:lineRule="auto"/>
        <w:ind w:firstLine="420" w:firstLineChars="200"/>
        <w:rPr>
          <w:rFonts w:ascii="宋体" w:hAnsi="宋体"/>
        </w:rPr>
      </w:pPr>
      <w:r>
        <w:rPr>
          <w:rFonts w:hint="eastAsia" w:ascii="宋体" w:hAnsi="宋体"/>
        </w:rPr>
        <w:t>（1）本项目磋商有效期见供应商</w:t>
      </w:r>
      <w:r>
        <w:rPr>
          <w:rFonts w:ascii="宋体" w:hAnsi="宋体"/>
        </w:rPr>
        <w:t>须知前附表</w:t>
      </w:r>
      <w:r>
        <w:rPr>
          <w:rFonts w:hint="eastAsia" w:ascii="宋体" w:hAnsi="宋体"/>
        </w:rPr>
        <w:t>。响应文件中必须载明磋商有效期，响应文件中载明的磋商有效期可以长于磋商文件规定的期限，但不得短于磋商文件规定的期限。否则，其响应文件将作为无效处理。</w:t>
      </w:r>
    </w:p>
    <w:p>
      <w:pPr>
        <w:adjustRightInd w:val="0"/>
        <w:snapToGrid w:val="0"/>
        <w:spacing w:line="360" w:lineRule="auto"/>
        <w:ind w:firstLine="420" w:firstLineChars="200"/>
        <w:rPr>
          <w:rFonts w:ascii="宋体" w:hAnsi="宋体"/>
        </w:rPr>
      </w:pPr>
      <w:r>
        <w:rPr>
          <w:rFonts w:hint="eastAsia" w:ascii="宋体" w:hAnsi="宋体"/>
        </w:rPr>
        <w:t xml:space="preserve">（2）因不可抗力事件或者采购需求作出必要调整，采购人可于磋商有效期届满之前与供应商协商延长磋商有效期。供应商拒绝延长磋商有效期的，不得再参与该项目后续采购活动。供应商同意延长磋商有效期的，不能修改响应文件。 </w:t>
      </w:r>
    </w:p>
    <w:p>
      <w:pPr>
        <w:adjustRightInd w:val="0"/>
        <w:snapToGrid w:val="0"/>
        <w:spacing w:line="360" w:lineRule="auto"/>
        <w:ind w:firstLine="482" w:firstLineChars="200"/>
        <w:rPr>
          <w:rFonts w:ascii="宋体" w:hAnsi="宋体"/>
          <w:b/>
          <w:bCs/>
          <w:sz w:val="24"/>
        </w:rPr>
      </w:pPr>
      <w:bookmarkStart w:id="75" w:name="_Toc217446052"/>
      <w:bookmarkStart w:id="76" w:name="_Toc308164802"/>
      <w:bookmarkStart w:id="77" w:name="_Toc183582225"/>
      <w:bookmarkStart w:id="78" w:name="_Toc183682362"/>
      <w:r>
        <w:rPr>
          <w:rFonts w:hint="eastAsia" w:ascii="宋体" w:hAnsi="宋体"/>
          <w:b/>
          <w:bCs/>
          <w:sz w:val="24"/>
        </w:rPr>
        <w:t>18、响应文件的印制和签署</w:t>
      </w:r>
      <w:bookmarkEnd w:id="75"/>
      <w:bookmarkEnd w:id="76"/>
      <w:bookmarkEnd w:id="77"/>
      <w:bookmarkEnd w:id="78"/>
    </w:p>
    <w:p>
      <w:pPr>
        <w:adjustRightInd w:val="0"/>
        <w:snapToGrid w:val="0"/>
        <w:spacing w:line="360" w:lineRule="auto"/>
        <w:ind w:firstLine="420" w:firstLineChars="200"/>
        <w:rPr>
          <w:rFonts w:ascii="宋体" w:hAnsi="宋体"/>
        </w:rPr>
      </w:pPr>
      <w:bookmarkStart w:id="79" w:name="_Toc183582226"/>
      <w:bookmarkStart w:id="80" w:name="_Toc183682363"/>
      <w:bookmarkStart w:id="81" w:name="_Toc89075877"/>
      <w:bookmarkStart w:id="82" w:name="_Toc77400781"/>
      <w:bookmarkStart w:id="83" w:name="_Toc308164803"/>
      <w:bookmarkStart w:id="84" w:name="_Toc217446053"/>
      <w:r>
        <w:rPr>
          <w:rFonts w:hint="eastAsia" w:ascii="宋体" w:hAnsi="宋体"/>
        </w:rPr>
        <w:t>（1</w:t>
      </w:r>
      <w:r>
        <w:rPr>
          <w:rFonts w:ascii="宋体" w:hAnsi="宋体"/>
        </w:rPr>
        <w:t>）</w:t>
      </w:r>
      <w:r>
        <w:rPr>
          <w:rFonts w:hint="eastAsia" w:ascii="宋体" w:hAnsi="宋体"/>
          <w:color w:val="FF0000"/>
          <w:u w:val="single"/>
        </w:rPr>
        <w:t>响应</w:t>
      </w:r>
      <w:r>
        <w:rPr>
          <w:rFonts w:ascii="宋体" w:hAnsi="宋体"/>
          <w:color w:val="FF0000"/>
          <w:u w:val="single"/>
        </w:rPr>
        <w:t>文件</w:t>
      </w:r>
      <w:r>
        <w:rPr>
          <w:rFonts w:hint="eastAsia" w:ascii="宋体" w:hAnsi="宋体"/>
          <w:color w:val="FF0000"/>
          <w:u w:val="single"/>
        </w:rPr>
        <w:t>分为“响应文件－资格性部分”</w:t>
      </w:r>
      <w:r>
        <w:rPr>
          <w:rFonts w:ascii="宋体" w:hAnsi="宋体"/>
          <w:color w:val="FF0000"/>
          <w:u w:val="single"/>
        </w:rPr>
        <w:t>、</w:t>
      </w:r>
      <w:r>
        <w:rPr>
          <w:rFonts w:hint="eastAsia" w:ascii="宋体" w:hAnsi="宋体"/>
          <w:color w:val="FF0000"/>
          <w:u w:val="single"/>
        </w:rPr>
        <w:t>“响应文件－技术服务部分”“响应文件－报价部分”三</w:t>
      </w:r>
      <w:r>
        <w:rPr>
          <w:rFonts w:ascii="宋体" w:hAnsi="宋体"/>
          <w:color w:val="FF0000"/>
          <w:u w:val="single"/>
        </w:rPr>
        <w:t>部分制作装订成册。</w:t>
      </w:r>
    </w:p>
    <w:p>
      <w:pPr>
        <w:adjustRightInd w:val="0"/>
        <w:snapToGrid w:val="0"/>
        <w:spacing w:line="360" w:lineRule="auto"/>
        <w:ind w:firstLine="420" w:firstLineChars="200"/>
        <w:rPr>
          <w:rFonts w:ascii="宋体" w:hAnsi="宋体"/>
        </w:rPr>
      </w:pPr>
      <w:r>
        <w:rPr>
          <w:rFonts w:hint="eastAsia" w:ascii="宋体" w:hAnsi="宋体"/>
        </w:rPr>
        <w:t>（2</w:t>
      </w:r>
      <w:r>
        <w:rPr>
          <w:rFonts w:ascii="宋体" w:hAnsi="宋体"/>
        </w:rPr>
        <w:t>）</w:t>
      </w:r>
      <w:r>
        <w:rPr>
          <w:rFonts w:hint="eastAsia" w:ascii="宋体" w:hAnsi="宋体"/>
          <w:color w:val="FF0000"/>
          <w:u w:val="single"/>
        </w:rPr>
        <w:t>响应文件正本、副本数量</w:t>
      </w:r>
      <w:r>
        <w:rPr>
          <w:rFonts w:ascii="宋体" w:hAnsi="宋体"/>
          <w:color w:val="FF0000"/>
          <w:u w:val="single"/>
        </w:rPr>
        <w:t>见</w:t>
      </w:r>
      <w:r>
        <w:rPr>
          <w:rFonts w:hint="eastAsia" w:ascii="宋体" w:hAnsi="宋体"/>
          <w:color w:val="FF0000"/>
          <w:u w:val="single"/>
        </w:rPr>
        <w:t>供应商</w:t>
      </w:r>
      <w:r>
        <w:rPr>
          <w:rFonts w:ascii="宋体" w:hAnsi="宋体"/>
          <w:color w:val="FF0000"/>
          <w:u w:val="single"/>
        </w:rPr>
        <w:t>须知前附表</w:t>
      </w:r>
      <w:r>
        <w:rPr>
          <w:rFonts w:hint="eastAsia" w:ascii="宋体" w:hAnsi="宋体"/>
          <w:color w:val="FF0000"/>
          <w:u w:val="single"/>
        </w:rPr>
        <w:t>。</w:t>
      </w:r>
      <w:r>
        <w:rPr>
          <w:rFonts w:hint="eastAsia" w:ascii="宋体" w:hAnsi="宋体"/>
        </w:rPr>
        <w:t>响应文件的正本和副本应在其封面右上角清楚地标明“正本”或“副本”字样，若正本和副本有不一致的内容，以正本为准。</w:t>
      </w:r>
    </w:p>
    <w:p>
      <w:pPr>
        <w:adjustRightInd w:val="0"/>
        <w:snapToGrid w:val="0"/>
        <w:spacing w:line="360" w:lineRule="auto"/>
        <w:ind w:firstLine="420" w:firstLineChars="200"/>
        <w:rPr>
          <w:rFonts w:ascii="宋体" w:hAnsi="宋体"/>
        </w:rPr>
      </w:pPr>
      <w:r>
        <w:rPr>
          <w:rFonts w:hint="eastAsia" w:ascii="宋体" w:hAnsi="宋体"/>
        </w:rPr>
        <w:t>（3）响应文件的正本需印制并按规定签字</w:t>
      </w:r>
      <w:r>
        <w:rPr>
          <w:rFonts w:ascii="宋体" w:hAnsi="宋体"/>
        </w:rPr>
        <w:t>盖章</w:t>
      </w:r>
      <w:r>
        <w:rPr>
          <w:rFonts w:hint="eastAsia" w:ascii="宋体" w:hAnsi="宋体"/>
        </w:rPr>
        <w:t>。响应文件副本可印制并按规定签字</w:t>
      </w:r>
      <w:r>
        <w:rPr>
          <w:rFonts w:ascii="宋体" w:hAnsi="宋体"/>
        </w:rPr>
        <w:t>盖章</w:t>
      </w:r>
      <w:r>
        <w:rPr>
          <w:rFonts w:hint="eastAsia" w:ascii="宋体" w:hAnsi="宋体"/>
        </w:rPr>
        <w:t>，也可采用正本的复印件。</w:t>
      </w:r>
    </w:p>
    <w:p>
      <w:pPr>
        <w:adjustRightInd w:val="0"/>
        <w:snapToGrid w:val="0"/>
        <w:spacing w:line="360" w:lineRule="auto"/>
        <w:ind w:firstLine="420" w:firstLineChars="200"/>
        <w:rPr>
          <w:rFonts w:ascii="宋体" w:hAnsi="宋体"/>
        </w:rPr>
      </w:pPr>
      <w:r>
        <w:rPr>
          <w:rFonts w:hint="eastAsia" w:ascii="宋体" w:hAnsi="宋体"/>
        </w:rPr>
        <w:t>（4）响应文件的印制和书写应清楚工整，任何行间插字、涂改或增删，必须由供应商的法定代表人(负责人)或其授权代表签字或盖个人印鉴。</w:t>
      </w:r>
    </w:p>
    <w:p>
      <w:pPr>
        <w:adjustRightInd w:val="0"/>
        <w:snapToGrid w:val="0"/>
        <w:spacing w:line="360" w:lineRule="auto"/>
        <w:ind w:firstLine="420" w:firstLineChars="200"/>
        <w:rPr>
          <w:rFonts w:ascii="宋体" w:hAnsi="宋体"/>
        </w:rPr>
      </w:pPr>
      <w:r>
        <w:rPr>
          <w:rFonts w:hint="eastAsia" w:ascii="宋体" w:hAnsi="宋体"/>
        </w:rPr>
        <w:t>（5）</w:t>
      </w:r>
      <w:r>
        <w:rPr>
          <w:rFonts w:hint="eastAsia" w:ascii="宋体" w:hAnsi="宋体"/>
          <w:color w:val="FF0000"/>
          <w:u w:val="single"/>
        </w:rPr>
        <w:t>响应文件正本和副本必须左侧装订成册并编码。</w:t>
      </w:r>
    </w:p>
    <w:p>
      <w:pPr>
        <w:adjustRightInd w:val="0"/>
        <w:snapToGrid w:val="0"/>
        <w:spacing w:line="360" w:lineRule="auto"/>
        <w:ind w:firstLine="420" w:firstLineChars="200"/>
        <w:rPr>
          <w:rFonts w:ascii="宋体" w:hAnsi="宋体"/>
        </w:rPr>
      </w:pPr>
      <w:r>
        <w:rPr>
          <w:rFonts w:hint="eastAsia" w:ascii="宋体" w:hAnsi="宋体"/>
        </w:rPr>
        <w:t>（6）响应文件应根据磋商文件的要求制作，签署、盖章和内容应完整。</w:t>
      </w:r>
    </w:p>
    <w:p>
      <w:pPr>
        <w:adjustRightInd w:val="0"/>
        <w:snapToGrid w:val="0"/>
        <w:spacing w:line="360" w:lineRule="auto"/>
        <w:ind w:firstLine="420" w:firstLineChars="200"/>
        <w:rPr>
          <w:rFonts w:ascii="宋体" w:hAnsi="宋体"/>
        </w:rPr>
      </w:pPr>
      <w:r>
        <w:rPr>
          <w:rFonts w:hint="eastAsia" w:ascii="宋体" w:hAnsi="宋体"/>
        </w:rPr>
        <w:t>（7）响应文件应统一用A4幅面纸印制，</w:t>
      </w:r>
      <w:r>
        <w:rPr>
          <w:rFonts w:ascii="宋体" w:hAnsi="宋体"/>
        </w:rPr>
        <w:t>如</w:t>
      </w:r>
      <w:r>
        <w:rPr>
          <w:rFonts w:hint="eastAsia" w:ascii="宋体" w:hAnsi="宋体"/>
        </w:rPr>
        <w:t>要求</w:t>
      </w:r>
      <w:r>
        <w:rPr>
          <w:rFonts w:ascii="宋体" w:hAnsi="宋体"/>
        </w:rPr>
        <w:t>提交图纸等不易采用</w:t>
      </w:r>
      <w:r>
        <w:rPr>
          <w:rFonts w:hint="eastAsia" w:ascii="宋体" w:hAnsi="宋体"/>
        </w:rPr>
        <w:t>A4幅面纸张印制的</w:t>
      </w:r>
      <w:r>
        <w:rPr>
          <w:rFonts w:ascii="宋体" w:hAnsi="宋体"/>
        </w:rPr>
        <w:t>除外</w:t>
      </w:r>
      <w:r>
        <w:rPr>
          <w:rFonts w:hint="eastAsia" w:ascii="宋体" w:hAnsi="宋体"/>
        </w:rPr>
        <w:t>。</w:t>
      </w:r>
    </w:p>
    <w:p>
      <w:pPr>
        <w:adjustRightInd w:val="0"/>
        <w:snapToGrid w:val="0"/>
        <w:spacing w:line="360" w:lineRule="auto"/>
        <w:ind w:firstLine="482" w:firstLineChars="200"/>
        <w:rPr>
          <w:rFonts w:ascii="宋体" w:hAnsi="宋体"/>
          <w:b/>
          <w:sz w:val="24"/>
        </w:rPr>
      </w:pPr>
      <w:r>
        <w:rPr>
          <w:rFonts w:hint="eastAsia" w:ascii="宋体" w:hAnsi="宋体"/>
          <w:b/>
          <w:bCs/>
          <w:sz w:val="24"/>
        </w:rPr>
        <w:t>19、</w:t>
      </w:r>
      <w:r>
        <w:rPr>
          <w:rFonts w:hint="eastAsia" w:ascii="宋体" w:hAnsi="宋体"/>
          <w:b/>
          <w:sz w:val="24"/>
        </w:rPr>
        <w:t>响应文件的密封和标</w:t>
      </w:r>
      <w:bookmarkEnd w:id="79"/>
      <w:bookmarkEnd w:id="80"/>
      <w:bookmarkEnd w:id="81"/>
      <w:bookmarkEnd w:id="82"/>
      <w:r>
        <w:rPr>
          <w:rFonts w:hint="eastAsia" w:ascii="宋体" w:hAnsi="宋体"/>
          <w:b/>
          <w:sz w:val="24"/>
        </w:rPr>
        <w:t>注</w:t>
      </w:r>
      <w:bookmarkEnd w:id="83"/>
      <w:bookmarkEnd w:id="84"/>
    </w:p>
    <w:p>
      <w:pPr>
        <w:adjustRightInd w:val="0"/>
        <w:snapToGrid w:val="0"/>
        <w:spacing w:line="360" w:lineRule="auto"/>
        <w:ind w:firstLine="420" w:firstLineChars="200"/>
        <w:rPr>
          <w:rFonts w:ascii="宋体" w:hAnsi="宋体"/>
          <w:color w:val="FF0000"/>
          <w:u w:val="single"/>
        </w:rPr>
      </w:pPr>
      <w:r>
        <w:rPr>
          <w:rFonts w:hint="eastAsia" w:ascii="宋体" w:hAnsi="宋体"/>
        </w:rPr>
        <w:t>（1）</w:t>
      </w:r>
      <w:r>
        <w:rPr>
          <w:rFonts w:hint="eastAsia" w:ascii="宋体" w:hAnsi="宋体"/>
          <w:color w:val="FF0000"/>
          <w:u w:val="single"/>
        </w:rPr>
        <w:t>响应文件的</w:t>
      </w:r>
      <w:r>
        <w:rPr>
          <w:rFonts w:ascii="宋体" w:hAnsi="宋体"/>
          <w:color w:val="FF0000"/>
          <w:u w:val="single"/>
        </w:rPr>
        <w:t>密封</w:t>
      </w:r>
      <w:r>
        <w:rPr>
          <w:rFonts w:hint="eastAsia" w:ascii="宋体" w:hAnsi="宋体"/>
          <w:color w:val="FF0000"/>
          <w:u w:val="single"/>
        </w:rPr>
        <w:t>，正本副本封装在同一</w:t>
      </w:r>
      <w:r>
        <w:rPr>
          <w:rFonts w:ascii="宋体" w:hAnsi="宋体"/>
          <w:color w:val="FF0000"/>
          <w:u w:val="single"/>
        </w:rPr>
        <w:t>密封袋内</w:t>
      </w:r>
      <w:r>
        <w:rPr>
          <w:rFonts w:hint="eastAsia" w:ascii="宋体" w:hAnsi="宋体"/>
          <w:color w:val="FF0000"/>
          <w:u w:val="single"/>
        </w:rPr>
        <w:t>。密封袋上注明供应商名称、采购编号、项目名称。</w:t>
      </w:r>
    </w:p>
    <w:p>
      <w:pPr>
        <w:adjustRightInd w:val="0"/>
        <w:snapToGrid w:val="0"/>
        <w:spacing w:line="360" w:lineRule="auto"/>
        <w:ind w:firstLine="420" w:firstLineChars="200"/>
        <w:rPr>
          <w:rFonts w:ascii="宋体" w:hAnsi="宋体"/>
        </w:rPr>
      </w:pPr>
      <w:r>
        <w:rPr>
          <w:rFonts w:hint="eastAsia" w:ascii="宋体" w:hAnsi="宋体"/>
        </w:rPr>
        <w:t>（</w:t>
      </w:r>
      <w:r>
        <w:rPr>
          <w:rFonts w:ascii="宋体" w:hAnsi="宋体"/>
        </w:rPr>
        <w:t>2</w:t>
      </w:r>
      <w:r>
        <w:rPr>
          <w:rFonts w:hint="eastAsia" w:ascii="宋体" w:hAnsi="宋体"/>
        </w:rPr>
        <w:t>）所有外层密封袋的封口处应密封，并加盖供应商单位公章。</w:t>
      </w:r>
      <w:bookmarkStart w:id="85" w:name="_Toc183682364"/>
      <w:bookmarkStart w:id="86" w:name="_Toc183582227"/>
      <w:bookmarkStart w:id="87" w:name="_Toc217446054"/>
      <w:bookmarkStart w:id="88" w:name="_Toc308164804"/>
    </w:p>
    <w:p>
      <w:pPr>
        <w:adjustRightInd w:val="0"/>
        <w:snapToGrid w:val="0"/>
        <w:spacing w:line="360" w:lineRule="auto"/>
        <w:ind w:firstLine="482" w:firstLineChars="200"/>
        <w:rPr>
          <w:rFonts w:ascii="宋体" w:hAnsi="宋体"/>
          <w:sz w:val="24"/>
        </w:rPr>
      </w:pPr>
      <w:r>
        <w:rPr>
          <w:rFonts w:hint="eastAsia" w:ascii="宋体" w:hAnsi="宋体"/>
          <w:b/>
          <w:bCs/>
          <w:sz w:val="24"/>
        </w:rPr>
        <w:t>20、响应文件的</w:t>
      </w:r>
      <w:bookmarkEnd w:id="85"/>
      <w:bookmarkEnd w:id="86"/>
      <w:r>
        <w:rPr>
          <w:rFonts w:hint="eastAsia" w:ascii="宋体" w:hAnsi="宋体"/>
          <w:b/>
          <w:bCs/>
          <w:sz w:val="24"/>
        </w:rPr>
        <w:t>递交</w:t>
      </w:r>
      <w:bookmarkEnd w:id="87"/>
      <w:bookmarkEnd w:id="88"/>
    </w:p>
    <w:p>
      <w:pPr>
        <w:adjustRightInd w:val="0"/>
        <w:snapToGrid w:val="0"/>
        <w:spacing w:line="360" w:lineRule="auto"/>
        <w:ind w:firstLine="420" w:firstLineChars="200"/>
        <w:rPr>
          <w:rFonts w:ascii="宋体" w:hAnsi="宋体"/>
        </w:rPr>
      </w:pPr>
      <w:bookmarkStart w:id="89" w:name="_Toc183682365"/>
      <w:bookmarkStart w:id="90" w:name="_Toc183582228"/>
      <w:bookmarkStart w:id="91" w:name="_Toc217446055"/>
      <w:r>
        <w:rPr>
          <w:rFonts w:hint="eastAsia" w:ascii="宋体" w:hAnsi="宋体"/>
        </w:rPr>
        <w:t>（1）供应商应在磋商文件规定的递交响应文件截止时间前，将响应文件按磋商文件的规定密封后送达四川省科源工程技术测试中心指定地点。递交响应文件截止时间以后送达的响应文件将不予接收。采购代理机构在磋商文件规定时间内组织各供应商及参加的有关人员签到，并接收供应商递交的符合要求的响应文件。如供应商递交的响应文件未按照磋商文件要求封装，中心有权拒收。</w:t>
      </w:r>
    </w:p>
    <w:p>
      <w:pPr>
        <w:adjustRightInd w:val="0"/>
        <w:snapToGrid w:val="0"/>
        <w:spacing w:line="360" w:lineRule="auto"/>
        <w:ind w:firstLine="482" w:firstLineChars="200"/>
        <w:rPr>
          <w:rFonts w:ascii="宋体" w:hAnsi="宋体"/>
          <w:b/>
          <w:bCs/>
          <w:sz w:val="24"/>
        </w:rPr>
      </w:pPr>
      <w:r>
        <w:rPr>
          <w:rFonts w:hint="eastAsia" w:ascii="宋体" w:hAnsi="宋体"/>
          <w:b/>
          <w:bCs/>
          <w:sz w:val="24"/>
        </w:rPr>
        <w:t>21、响应文件的修改和撤</w:t>
      </w:r>
      <w:bookmarkEnd w:id="89"/>
      <w:bookmarkEnd w:id="90"/>
      <w:r>
        <w:rPr>
          <w:rFonts w:hint="eastAsia" w:ascii="宋体" w:hAnsi="宋体"/>
          <w:b/>
          <w:bCs/>
          <w:sz w:val="24"/>
        </w:rPr>
        <w:t>回</w:t>
      </w:r>
      <w:bookmarkEnd w:id="91"/>
    </w:p>
    <w:p>
      <w:pPr>
        <w:adjustRightInd w:val="0"/>
        <w:snapToGrid w:val="0"/>
        <w:spacing w:line="360" w:lineRule="auto"/>
        <w:ind w:firstLine="420" w:firstLineChars="200"/>
        <w:rPr>
          <w:rFonts w:ascii="宋体" w:hAnsi="宋体"/>
        </w:rPr>
      </w:pPr>
      <w:bookmarkStart w:id="92" w:name="_Toc183582231"/>
      <w:bookmarkStart w:id="93" w:name="_Toc89075878"/>
      <w:bookmarkStart w:id="94" w:name="_Toc183682368"/>
      <w:bookmarkStart w:id="95" w:name="_Toc308164805"/>
      <w:bookmarkStart w:id="96" w:name="_Toc77400782"/>
      <w:bookmarkStart w:id="97" w:name="_Toc217446056"/>
      <w:r>
        <w:rPr>
          <w:rFonts w:hint="eastAsia" w:ascii="宋体" w:hAnsi="宋体"/>
        </w:rPr>
        <w:t>（1） 供应商递交了响应文件后在规定的递交响应文件截止时间前，可以修改或撤回其响应文件，撤回其响应文件须向四川省科源工程技术测试中心提出书面申请。</w:t>
      </w:r>
    </w:p>
    <w:p>
      <w:pPr>
        <w:adjustRightInd w:val="0"/>
        <w:snapToGrid w:val="0"/>
        <w:spacing w:line="360" w:lineRule="auto"/>
        <w:ind w:firstLine="420" w:firstLineChars="200"/>
        <w:rPr>
          <w:rFonts w:ascii="宋体" w:hAnsi="宋体"/>
        </w:rPr>
      </w:pPr>
      <w:r>
        <w:rPr>
          <w:rFonts w:hint="eastAsia" w:ascii="宋体" w:hAnsi="宋体"/>
        </w:rPr>
        <w:t>（2）供应商的撤回申请书，应由其法定代表人(负责人)或授权代表签署并盖单位公章。修改后的文件应按磋商文件相关规定进行密封和标注，并在密封袋上标注“修改”字样。</w:t>
      </w:r>
    </w:p>
    <w:p>
      <w:pPr>
        <w:adjustRightInd w:val="0"/>
        <w:snapToGrid w:val="0"/>
        <w:spacing w:line="360" w:lineRule="auto"/>
        <w:ind w:firstLine="420" w:firstLineChars="200"/>
        <w:rPr>
          <w:rFonts w:ascii="宋体" w:hAnsi="宋体"/>
        </w:rPr>
      </w:pPr>
      <w:r>
        <w:rPr>
          <w:rFonts w:hint="eastAsia" w:ascii="宋体" w:hAnsi="宋体"/>
        </w:rPr>
        <w:t>（3）修改后的文件递交截止时间为响应文件递交截止时间。</w:t>
      </w:r>
    </w:p>
    <w:p>
      <w:pPr>
        <w:adjustRightInd w:val="0"/>
        <w:snapToGrid w:val="0"/>
        <w:spacing w:line="360" w:lineRule="auto"/>
        <w:ind w:firstLine="420" w:firstLineChars="200"/>
        <w:rPr>
          <w:rFonts w:ascii="宋体" w:hAnsi="宋体"/>
        </w:rPr>
      </w:pPr>
      <w:r>
        <w:rPr>
          <w:rFonts w:hint="eastAsia" w:ascii="宋体" w:hAnsi="宋体"/>
        </w:rPr>
        <w:t>（4）在递交响应文件截止时间之后，供应商不得对其递交的响应文件作任何修改、撤回，否则</w:t>
      </w:r>
      <w:r>
        <w:rPr>
          <w:rFonts w:ascii="宋体" w:hAnsi="宋体"/>
        </w:rPr>
        <w:t>，</w:t>
      </w:r>
      <w:r>
        <w:rPr>
          <w:rFonts w:hint="eastAsia" w:ascii="宋体" w:hAnsi="宋体"/>
        </w:rPr>
        <w:t>将按照有关规定进行相应处理。</w:t>
      </w:r>
    </w:p>
    <w:p>
      <w:pPr>
        <w:pStyle w:val="5"/>
        <w:adjustRightInd w:val="0"/>
        <w:snapToGrid w:val="0"/>
        <w:spacing w:before="0" w:after="0" w:line="360" w:lineRule="auto"/>
        <w:rPr>
          <w:rFonts w:ascii="宋体" w:hAnsi="宋体"/>
          <w:bCs w:val="0"/>
          <w:szCs w:val="28"/>
        </w:rPr>
      </w:pPr>
      <w:bookmarkStart w:id="98" w:name="_Toc518487350"/>
      <w:bookmarkStart w:id="99" w:name="_Toc112257048"/>
      <w:r>
        <w:rPr>
          <w:rFonts w:hint="eastAsia" w:ascii="宋体" w:hAnsi="宋体"/>
          <w:bCs w:val="0"/>
          <w:szCs w:val="28"/>
        </w:rPr>
        <w:t>五、</w:t>
      </w:r>
      <w:bookmarkEnd w:id="92"/>
      <w:bookmarkEnd w:id="93"/>
      <w:bookmarkEnd w:id="94"/>
      <w:bookmarkEnd w:id="95"/>
      <w:bookmarkEnd w:id="96"/>
      <w:bookmarkEnd w:id="97"/>
      <w:r>
        <w:rPr>
          <w:rFonts w:hint="eastAsia" w:ascii="宋体" w:hAnsi="宋体"/>
          <w:bCs w:val="0"/>
          <w:szCs w:val="28"/>
        </w:rPr>
        <w:t>磋商评审</w:t>
      </w:r>
      <w:r>
        <w:rPr>
          <w:rFonts w:ascii="宋体" w:hAnsi="宋体"/>
          <w:bCs w:val="0"/>
          <w:szCs w:val="28"/>
        </w:rPr>
        <w:t>程序</w:t>
      </w:r>
      <w:bookmarkEnd w:id="98"/>
      <w:bookmarkEnd w:id="99"/>
    </w:p>
    <w:p>
      <w:pPr>
        <w:adjustRightInd w:val="0"/>
        <w:snapToGrid w:val="0"/>
        <w:spacing w:line="360" w:lineRule="auto"/>
        <w:ind w:firstLine="482" w:firstLineChars="200"/>
        <w:rPr>
          <w:rFonts w:ascii="宋体" w:hAnsi="宋体"/>
          <w:b/>
          <w:bCs/>
          <w:sz w:val="24"/>
        </w:rPr>
      </w:pPr>
      <w:r>
        <w:rPr>
          <w:rFonts w:hint="eastAsia" w:ascii="宋体" w:hAnsi="宋体"/>
          <w:b/>
          <w:bCs/>
          <w:sz w:val="24"/>
        </w:rPr>
        <w:t>22、磋商评审前准备</w:t>
      </w:r>
    </w:p>
    <w:p>
      <w:pPr>
        <w:adjustRightInd w:val="0"/>
        <w:snapToGrid w:val="0"/>
        <w:spacing w:line="360" w:lineRule="auto"/>
        <w:ind w:firstLine="420" w:firstLineChars="200"/>
        <w:rPr>
          <w:rFonts w:ascii="宋体" w:hAnsi="宋体"/>
        </w:rPr>
      </w:pPr>
      <w:r>
        <w:rPr>
          <w:rFonts w:hint="eastAsia" w:ascii="宋体" w:hAnsi="宋体"/>
        </w:rPr>
        <w:t>采购单位根据供应商递交响应文件相关情况组建项目评审小组。</w:t>
      </w:r>
    </w:p>
    <w:p>
      <w:pPr>
        <w:adjustRightInd w:val="0"/>
        <w:snapToGrid w:val="0"/>
        <w:spacing w:line="360" w:lineRule="auto"/>
        <w:ind w:firstLine="482" w:firstLineChars="200"/>
        <w:rPr>
          <w:rFonts w:ascii="宋体" w:hAnsi="宋体"/>
          <w:b/>
          <w:bCs/>
          <w:sz w:val="24"/>
        </w:rPr>
      </w:pPr>
      <w:r>
        <w:rPr>
          <w:rFonts w:hint="eastAsia" w:ascii="宋体" w:hAnsi="宋体"/>
          <w:b/>
          <w:bCs/>
          <w:sz w:val="24"/>
        </w:rPr>
        <w:t>23、磋商评审程序</w:t>
      </w:r>
    </w:p>
    <w:p>
      <w:pPr>
        <w:adjustRightInd w:val="0"/>
        <w:snapToGrid w:val="0"/>
        <w:spacing w:line="360" w:lineRule="auto"/>
        <w:ind w:firstLine="440" w:firstLineChars="200"/>
        <w:rPr>
          <w:rFonts w:ascii="宋体" w:hAnsi="宋体"/>
          <w:b/>
          <w:bCs/>
          <w:color w:val="FF0000"/>
          <w:sz w:val="22"/>
        </w:rPr>
      </w:pPr>
      <w:r>
        <w:rPr>
          <w:rFonts w:hint="eastAsia" w:ascii="宋体" w:hAnsi="宋体"/>
          <w:sz w:val="22"/>
        </w:rPr>
        <w:t>（1）评审小组</w:t>
      </w:r>
      <w:r>
        <w:rPr>
          <w:rFonts w:ascii="宋体" w:hAnsi="宋体"/>
          <w:sz w:val="22"/>
        </w:rPr>
        <w:t>对通过资格</w:t>
      </w:r>
      <w:r>
        <w:rPr>
          <w:rFonts w:hint="eastAsia" w:ascii="宋体" w:hAnsi="宋体"/>
          <w:sz w:val="22"/>
        </w:rPr>
        <w:t>预审</w:t>
      </w:r>
      <w:r>
        <w:rPr>
          <w:rFonts w:ascii="宋体" w:hAnsi="宋体"/>
          <w:sz w:val="22"/>
        </w:rPr>
        <w:t>的供应</w:t>
      </w:r>
      <w:r>
        <w:rPr>
          <w:rFonts w:hint="eastAsia" w:ascii="宋体" w:hAnsi="宋体"/>
          <w:sz w:val="22"/>
        </w:rPr>
        <w:t>商递交</w:t>
      </w:r>
      <w:r>
        <w:rPr>
          <w:rFonts w:ascii="宋体" w:hAnsi="宋体"/>
          <w:sz w:val="22"/>
        </w:rPr>
        <w:t>的技术</w:t>
      </w:r>
      <w:r>
        <w:rPr>
          <w:rFonts w:hint="eastAsia" w:ascii="宋体" w:hAnsi="宋体"/>
          <w:sz w:val="22"/>
        </w:rPr>
        <w:t>服务</w:t>
      </w:r>
      <w:r>
        <w:rPr>
          <w:rFonts w:ascii="宋体" w:hAnsi="宋体"/>
          <w:sz w:val="22"/>
        </w:rPr>
        <w:t>响应文件</w:t>
      </w:r>
      <w:r>
        <w:rPr>
          <w:rFonts w:hint="eastAsia" w:ascii="宋体" w:hAnsi="宋体"/>
          <w:sz w:val="22"/>
        </w:rPr>
        <w:t>根据第四章第1-7项内容进行符合性审查。</w:t>
      </w:r>
    </w:p>
    <w:p>
      <w:pPr>
        <w:adjustRightInd w:val="0"/>
        <w:snapToGrid w:val="0"/>
        <w:spacing w:line="360" w:lineRule="auto"/>
        <w:ind w:firstLine="440" w:firstLineChars="200"/>
        <w:rPr>
          <w:rFonts w:ascii="宋体" w:hAnsi="宋体"/>
          <w:b/>
          <w:bCs/>
          <w:color w:val="FF0000"/>
          <w:sz w:val="22"/>
        </w:rPr>
      </w:pPr>
      <w:r>
        <w:rPr>
          <w:rFonts w:hint="eastAsia" w:ascii="宋体" w:hAnsi="宋体"/>
          <w:sz w:val="22"/>
        </w:rPr>
        <w:t>（2）评审小组按照磋商</w:t>
      </w:r>
      <w:r>
        <w:rPr>
          <w:rFonts w:ascii="宋体" w:hAnsi="宋体"/>
          <w:sz w:val="22"/>
        </w:rPr>
        <w:t>文件的规定</w:t>
      </w:r>
      <w:r>
        <w:rPr>
          <w:rFonts w:hint="eastAsia" w:ascii="宋体" w:hAnsi="宋体"/>
          <w:b/>
          <w:bCs/>
          <w:color w:val="FF0000"/>
          <w:sz w:val="22"/>
        </w:rPr>
        <w:t>分别</w:t>
      </w:r>
      <w:r>
        <w:rPr>
          <w:rFonts w:ascii="宋体" w:hAnsi="宋体"/>
          <w:b/>
          <w:bCs/>
          <w:color w:val="FF0000"/>
          <w:sz w:val="22"/>
        </w:rPr>
        <w:t>与</w:t>
      </w:r>
      <w:r>
        <w:rPr>
          <w:rFonts w:hint="eastAsia" w:ascii="宋体" w:hAnsi="宋体"/>
          <w:b/>
          <w:bCs/>
          <w:color w:val="FF0000"/>
          <w:sz w:val="22"/>
        </w:rPr>
        <w:t>通过以上审查</w:t>
      </w:r>
      <w:r>
        <w:rPr>
          <w:rFonts w:ascii="宋体" w:hAnsi="宋体"/>
          <w:b/>
          <w:bCs/>
          <w:color w:val="FF0000"/>
          <w:sz w:val="22"/>
        </w:rPr>
        <w:t>的供应商</w:t>
      </w:r>
      <w:r>
        <w:rPr>
          <w:rFonts w:hint="eastAsia" w:ascii="宋体" w:hAnsi="宋体"/>
          <w:b/>
          <w:bCs/>
          <w:color w:val="FF0000"/>
          <w:sz w:val="22"/>
        </w:rPr>
        <w:t>进行磋商</w:t>
      </w:r>
      <w:r>
        <w:rPr>
          <w:rFonts w:ascii="宋体" w:hAnsi="宋体"/>
          <w:sz w:val="22"/>
        </w:rPr>
        <w:t>。</w:t>
      </w:r>
    </w:p>
    <w:p>
      <w:pPr>
        <w:adjustRightInd w:val="0"/>
        <w:snapToGrid w:val="0"/>
        <w:spacing w:line="360" w:lineRule="auto"/>
        <w:ind w:firstLine="440" w:firstLineChars="200"/>
        <w:rPr>
          <w:rFonts w:ascii="宋体" w:hAnsi="宋体"/>
          <w:sz w:val="22"/>
        </w:rPr>
      </w:pPr>
      <w:r>
        <w:rPr>
          <w:rFonts w:hint="eastAsia" w:ascii="宋体" w:hAnsi="宋体"/>
          <w:sz w:val="22"/>
        </w:rPr>
        <w:t>（3）磋商中</w:t>
      </w:r>
      <w:r>
        <w:rPr>
          <w:rFonts w:ascii="宋体" w:hAnsi="宋体"/>
          <w:sz w:val="22"/>
        </w:rPr>
        <w:t>采购需求</w:t>
      </w:r>
      <w:r>
        <w:rPr>
          <w:rFonts w:hint="eastAsia" w:ascii="宋体" w:hAnsi="宋体"/>
          <w:sz w:val="22"/>
        </w:rPr>
        <w:t>有变更的</w:t>
      </w:r>
      <w:r>
        <w:rPr>
          <w:rFonts w:ascii="宋体" w:hAnsi="宋体"/>
          <w:sz w:val="22"/>
        </w:rPr>
        <w:t>，</w:t>
      </w:r>
      <w:r>
        <w:rPr>
          <w:rFonts w:hint="eastAsia" w:ascii="宋体" w:hAnsi="宋体"/>
          <w:sz w:val="22"/>
        </w:rPr>
        <w:t>供应商应对变更后的实质性内容作出响应，变更补充材料作为递交的技术响应文件的组成部分。</w:t>
      </w:r>
    </w:p>
    <w:p>
      <w:pPr>
        <w:adjustRightInd w:val="0"/>
        <w:snapToGrid w:val="0"/>
        <w:spacing w:line="360" w:lineRule="auto"/>
        <w:ind w:firstLine="440" w:firstLineChars="200"/>
        <w:rPr>
          <w:rFonts w:ascii="宋体" w:hAnsi="宋体"/>
          <w:sz w:val="22"/>
        </w:rPr>
      </w:pPr>
      <w:r>
        <w:rPr>
          <w:rFonts w:hint="eastAsia" w:ascii="宋体" w:hAnsi="宋体"/>
          <w:sz w:val="22"/>
        </w:rPr>
        <w:t>（4）评审小组再次对技术服务响应文件进行审查。</w:t>
      </w:r>
    </w:p>
    <w:p>
      <w:pPr>
        <w:adjustRightInd w:val="0"/>
        <w:snapToGrid w:val="0"/>
        <w:spacing w:line="360" w:lineRule="auto"/>
        <w:ind w:firstLine="422" w:firstLineChars="200"/>
        <w:rPr>
          <w:rFonts w:ascii="宋体" w:hAnsi="宋体"/>
          <w:b/>
          <w:bCs/>
          <w:color w:val="FF0000"/>
        </w:rPr>
      </w:pPr>
      <w:r>
        <w:rPr>
          <w:rFonts w:hint="eastAsia" w:ascii="宋体" w:hAnsi="宋体"/>
          <w:b/>
          <w:bCs/>
          <w:color w:val="FF0000"/>
        </w:rPr>
        <w:t>（5）拆封通过技术服务性符合审查的供应商的</w:t>
      </w:r>
      <w:r>
        <w:rPr>
          <w:rFonts w:hint="eastAsia" w:ascii="宋体" w:hAnsi="宋体"/>
          <w:b/>
          <w:bCs/>
          <w:color w:val="FF0000"/>
          <w:sz w:val="22"/>
        </w:rPr>
        <w:t>“报价响应文件</w:t>
      </w:r>
      <w:r>
        <w:rPr>
          <w:rFonts w:hint="eastAsia" w:ascii="宋体" w:hAnsi="宋体"/>
          <w:b/>
          <w:bCs/>
          <w:color w:val="FF0000"/>
        </w:rPr>
        <w:t>”，评审小组对报价响应文件进行审查。</w:t>
      </w:r>
    </w:p>
    <w:p>
      <w:pPr>
        <w:adjustRightInd w:val="0"/>
        <w:snapToGrid w:val="0"/>
        <w:spacing w:line="360" w:lineRule="auto"/>
        <w:ind w:firstLine="420" w:firstLineChars="200"/>
        <w:rPr>
          <w:rFonts w:ascii="宋体" w:hAnsi="宋体"/>
          <w:b/>
          <w:bCs/>
          <w:color w:val="FF0000"/>
          <w:sz w:val="22"/>
        </w:rPr>
      </w:pPr>
      <w:r>
        <w:rPr>
          <w:rFonts w:hint="eastAsia" w:ascii="宋体" w:hAnsi="宋体"/>
        </w:rPr>
        <w:t>（6）</w:t>
      </w:r>
      <w:r>
        <w:rPr>
          <w:rFonts w:hint="eastAsia" w:ascii="宋体" w:hAnsi="宋体"/>
          <w:sz w:val="22"/>
        </w:rPr>
        <w:t>评审小组认为</w:t>
      </w:r>
      <w:r>
        <w:rPr>
          <w:rFonts w:hint="eastAsia" w:ascii="宋体" w:hAnsi="宋体"/>
          <w:szCs w:val="21"/>
        </w:rPr>
        <w:t>磋商内容属于实质性变动或修改后会</w:t>
      </w:r>
      <w:r>
        <w:rPr>
          <w:rFonts w:hint="eastAsia" w:ascii="宋体" w:hAnsi="宋体"/>
          <w:sz w:val="22"/>
        </w:rPr>
        <w:t>影响供应商成本投入的，应组织通过上述审查的供应商重新进行报价</w:t>
      </w:r>
      <w:r>
        <w:rPr>
          <w:rFonts w:hint="eastAsia" w:ascii="宋体" w:hAnsi="宋体"/>
          <w:b/>
          <w:bCs/>
          <w:color w:val="FF0000"/>
          <w:sz w:val="22"/>
        </w:rPr>
        <w:t>，否则将根据供应商的承诺将“报价响应文件”中的报价作为最终报价。</w:t>
      </w:r>
    </w:p>
    <w:p>
      <w:pPr>
        <w:adjustRightInd w:val="0"/>
        <w:snapToGrid w:val="0"/>
        <w:spacing w:line="360" w:lineRule="auto"/>
        <w:ind w:firstLine="482" w:firstLineChars="200"/>
        <w:rPr>
          <w:rFonts w:ascii="宋体" w:hAnsi="宋体"/>
          <w:b/>
          <w:bCs/>
          <w:sz w:val="24"/>
        </w:rPr>
      </w:pPr>
      <w:bookmarkStart w:id="100" w:name="_Toc183682375"/>
      <w:bookmarkStart w:id="101" w:name="_Toc183582238"/>
      <w:bookmarkStart w:id="102" w:name="_Toc308164809"/>
      <w:bookmarkStart w:id="103" w:name="_Toc217446063"/>
      <w:r>
        <w:rPr>
          <w:rFonts w:hint="eastAsia" w:ascii="宋体" w:hAnsi="宋体"/>
          <w:b/>
          <w:bCs/>
          <w:sz w:val="24"/>
        </w:rPr>
        <w:t>24、成交供应商的确定</w:t>
      </w:r>
    </w:p>
    <w:p>
      <w:pPr>
        <w:adjustRightInd w:val="0"/>
        <w:snapToGrid w:val="0"/>
        <w:spacing w:line="360" w:lineRule="auto"/>
        <w:ind w:firstLine="420" w:firstLineChars="200"/>
        <w:rPr>
          <w:rFonts w:ascii="宋体" w:hAnsi="宋体"/>
        </w:rPr>
      </w:pPr>
      <w:r>
        <w:rPr>
          <w:rFonts w:hint="eastAsia" w:ascii="宋体" w:hAnsi="宋体"/>
        </w:rPr>
        <w:t>（1）评审小组应当按照通过审查和磋商的供应商报价由低到高排序，推荐3名成交候选供应商。</w:t>
      </w:r>
    </w:p>
    <w:p>
      <w:pPr>
        <w:adjustRightInd w:val="0"/>
        <w:snapToGrid w:val="0"/>
        <w:spacing w:line="360" w:lineRule="auto"/>
        <w:ind w:firstLine="420" w:firstLineChars="200"/>
        <w:rPr>
          <w:rFonts w:ascii="宋体" w:hAnsi="宋体"/>
        </w:rPr>
      </w:pPr>
      <w:r>
        <w:rPr>
          <w:rFonts w:hint="eastAsia" w:ascii="宋体" w:hAnsi="宋体"/>
        </w:rPr>
        <w:t>（2）采购人授权评审小组直接确定成交供应商；</w:t>
      </w:r>
    </w:p>
    <w:p>
      <w:pPr>
        <w:adjustRightInd w:val="0"/>
        <w:snapToGrid w:val="0"/>
        <w:spacing w:line="360" w:lineRule="auto"/>
        <w:ind w:firstLine="420" w:firstLineChars="200"/>
        <w:rPr>
          <w:rFonts w:ascii="宋体" w:hAnsi="宋体"/>
        </w:rPr>
      </w:pPr>
      <w:r>
        <w:rPr>
          <w:rFonts w:hint="eastAsia" w:ascii="宋体" w:hAnsi="宋体"/>
        </w:rPr>
        <w:t>（3）成交候选供应商有下列情形之一的，采购人可确定后一位成交候选供应商为成交供应商，依次类推。无法确定成交供应商的，应当重新组织采购。</w:t>
      </w:r>
    </w:p>
    <w:p>
      <w:pPr>
        <w:adjustRightInd w:val="0"/>
        <w:snapToGrid w:val="0"/>
        <w:spacing w:line="360" w:lineRule="auto"/>
        <w:ind w:firstLine="420" w:firstLineChars="200"/>
        <w:rPr>
          <w:rFonts w:ascii="宋体" w:hAnsi="宋体"/>
        </w:rPr>
      </w:pPr>
      <w:r>
        <w:rPr>
          <w:rFonts w:hint="eastAsia" w:ascii="宋体" w:hAnsi="宋体"/>
        </w:rPr>
        <w:t>①成交候选供应商存在违法、违纪行为的；</w:t>
      </w:r>
    </w:p>
    <w:p>
      <w:pPr>
        <w:adjustRightInd w:val="0"/>
        <w:snapToGrid w:val="0"/>
        <w:spacing w:line="360" w:lineRule="auto"/>
        <w:ind w:firstLine="420" w:firstLineChars="200"/>
        <w:rPr>
          <w:rFonts w:ascii="宋体" w:hAnsi="宋体"/>
        </w:rPr>
      </w:pPr>
      <w:r>
        <w:rPr>
          <w:rFonts w:hint="eastAsia" w:ascii="宋体" w:hAnsi="宋体"/>
        </w:rPr>
        <w:t>②成交候选供应商因不可抗力因素无法履行采购合同的；</w:t>
      </w:r>
    </w:p>
    <w:p>
      <w:pPr>
        <w:adjustRightInd w:val="0"/>
        <w:snapToGrid w:val="0"/>
        <w:spacing w:line="360" w:lineRule="auto"/>
        <w:ind w:firstLine="420" w:firstLineChars="200"/>
        <w:rPr>
          <w:rFonts w:ascii="宋体" w:hAnsi="宋体"/>
        </w:rPr>
      </w:pPr>
      <w:r>
        <w:rPr>
          <w:rFonts w:hint="eastAsia" w:ascii="宋体" w:hAnsi="宋体"/>
        </w:rPr>
        <w:t>③成交候选供应商放弃成交资格的；</w:t>
      </w:r>
    </w:p>
    <w:p>
      <w:pPr>
        <w:adjustRightInd w:val="0"/>
        <w:snapToGrid w:val="0"/>
        <w:spacing w:line="360" w:lineRule="auto"/>
        <w:ind w:firstLine="420" w:firstLineChars="200"/>
        <w:rPr>
          <w:rFonts w:ascii="宋体" w:hAnsi="宋体"/>
          <w:highlight w:val="yellow"/>
        </w:rPr>
      </w:pPr>
      <w:r>
        <w:rPr>
          <w:rFonts w:hint="eastAsia" w:ascii="宋体" w:hAnsi="宋体"/>
          <w:highlight w:val="yellow"/>
        </w:rPr>
        <w:t>成交候选供应商放弃成交资格的，采购人可视具体情况顺延确定后一位成交候选供应商为成交供应商，但后一位成交候选供应商报价与成交供应商报价差额比例超过15％（如第一名成交候选供应商报价为X、第二名成交候选供应商报价为Y，报价差额比例=（Y-X）/X</w:t>
      </w:r>
      <w:r>
        <w:rPr>
          <w:rFonts w:ascii="宋体" w:hAnsi="宋体"/>
          <w:highlight w:val="yellow"/>
        </w:rPr>
        <w:t>）</w:t>
      </w:r>
      <w:r>
        <w:rPr>
          <w:rFonts w:hint="eastAsia" w:ascii="宋体" w:hAnsi="宋体"/>
          <w:highlight w:val="yellow"/>
        </w:rPr>
        <w:t>的，采购人应当不予确定成交供应商，并重新组织采购。</w:t>
      </w:r>
    </w:p>
    <w:p>
      <w:pPr>
        <w:adjustRightInd w:val="0"/>
        <w:snapToGrid w:val="0"/>
        <w:spacing w:line="360" w:lineRule="auto"/>
        <w:ind w:firstLine="472" w:firstLineChars="196"/>
        <w:rPr>
          <w:rFonts w:ascii="宋体" w:hAnsi="宋体"/>
          <w:b/>
          <w:sz w:val="24"/>
        </w:rPr>
      </w:pPr>
      <w:r>
        <w:rPr>
          <w:rFonts w:hint="eastAsia" w:ascii="宋体" w:hAnsi="宋体"/>
          <w:b/>
          <w:sz w:val="24"/>
        </w:rPr>
        <w:t>25、评审情况公告</w:t>
      </w:r>
    </w:p>
    <w:p>
      <w:pPr>
        <w:adjustRightInd w:val="0"/>
        <w:snapToGrid w:val="0"/>
        <w:spacing w:line="360" w:lineRule="auto"/>
        <w:ind w:firstLine="420" w:firstLineChars="200"/>
        <w:rPr>
          <w:rFonts w:ascii="宋体" w:hAnsi="宋体"/>
          <w:sz w:val="24"/>
        </w:rPr>
      </w:pPr>
      <w:r>
        <w:rPr>
          <w:rFonts w:hint="eastAsia" w:ascii="宋体" w:hAnsi="宋体"/>
        </w:rPr>
        <w:t>见供应商</w:t>
      </w:r>
      <w:r>
        <w:rPr>
          <w:rFonts w:ascii="宋体" w:hAnsi="宋体"/>
        </w:rPr>
        <w:t>须知前附表。</w:t>
      </w:r>
    </w:p>
    <w:p>
      <w:pPr>
        <w:adjustRightInd w:val="0"/>
        <w:snapToGrid w:val="0"/>
        <w:spacing w:line="360" w:lineRule="auto"/>
        <w:ind w:firstLine="482" w:firstLineChars="200"/>
        <w:rPr>
          <w:rFonts w:ascii="宋体" w:hAnsi="宋体"/>
          <w:b/>
          <w:bCs/>
          <w:sz w:val="24"/>
        </w:rPr>
      </w:pPr>
      <w:r>
        <w:rPr>
          <w:rFonts w:hint="eastAsia" w:ascii="宋体" w:hAnsi="宋体"/>
          <w:b/>
          <w:sz w:val="24"/>
        </w:rPr>
        <w:t>26、</w:t>
      </w:r>
      <w:r>
        <w:rPr>
          <w:rFonts w:hint="eastAsia" w:ascii="宋体" w:hAnsi="宋体"/>
          <w:b/>
          <w:bCs/>
          <w:sz w:val="24"/>
        </w:rPr>
        <w:t>成交通知</w:t>
      </w:r>
      <w:bookmarkEnd w:id="100"/>
      <w:bookmarkEnd w:id="101"/>
      <w:r>
        <w:rPr>
          <w:rFonts w:hint="eastAsia" w:ascii="宋体" w:hAnsi="宋体"/>
          <w:b/>
          <w:bCs/>
          <w:sz w:val="24"/>
        </w:rPr>
        <w:t>书</w:t>
      </w:r>
      <w:bookmarkEnd w:id="102"/>
      <w:bookmarkEnd w:id="103"/>
    </w:p>
    <w:p>
      <w:pPr>
        <w:adjustRightInd w:val="0"/>
        <w:snapToGrid w:val="0"/>
        <w:spacing w:line="360" w:lineRule="auto"/>
        <w:ind w:firstLine="420" w:firstLineChars="200"/>
        <w:rPr>
          <w:rFonts w:ascii="宋体" w:hAnsi="宋体"/>
        </w:rPr>
      </w:pPr>
      <w:r>
        <w:rPr>
          <w:rFonts w:hint="eastAsia" w:ascii="宋体" w:hAnsi="宋体"/>
        </w:rPr>
        <w:t>（1）成交通知书为签订采购合同的依据之一，是合同的有效组成部分。</w:t>
      </w:r>
    </w:p>
    <w:p>
      <w:pPr>
        <w:adjustRightInd w:val="0"/>
        <w:snapToGrid w:val="0"/>
        <w:spacing w:line="360" w:lineRule="auto"/>
        <w:ind w:firstLine="420" w:firstLineChars="200"/>
        <w:rPr>
          <w:rFonts w:ascii="宋体" w:hAnsi="宋体"/>
        </w:rPr>
      </w:pPr>
      <w:r>
        <w:rPr>
          <w:rFonts w:hint="eastAsia" w:ascii="宋体" w:hAnsi="宋体"/>
        </w:rPr>
        <w:t>（2）成交供应商须在成交结果公告公示</w:t>
      </w:r>
      <w:r>
        <w:rPr>
          <w:rFonts w:ascii="宋体" w:hAnsi="宋体"/>
        </w:rPr>
        <w:t>结束在</w:t>
      </w:r>
      <w:r>
        <w:rPr>
          <w:rFonts w:hint="eastAsia" w:ascii="宋体" w:hAnsi="宋体"/>
        </w:rPr>
        <w:t>签订采购</w:t>
      </w:r>
      <w:r>
        <w:rPr>
          <w:rFonts w:ascii="宋体" w:hAnsi="宋体"/>
        </w:rPr>
        <w:t>合同前</w:t>
      </w:r>
      <w:r>
        <w:rPr>
          <w:rFonts w:hint="eastAsia" w:ascii="宋体" w:hAnsi="宋体"/>
        </w:rPr>
        <w:t>按相关规定到科源测试中心领取成交通知书，逾期未领取的，视为成交供应商已领取或已收到成交通知书。领取</w:t>
      </w:r>
      <w:r>
        <w:rPr>
          <w:rFonts w:ascii="宋体" w:hAnsi="宋体"/>
        </w:rPr>
        <w:t>地</w:t>
      </w:r>
      <w:r>
        <w:rPr>
          <w:rFonts w:hint="eastAsia" w:ascii="宋体" w:hAnsi="宋体"/>
        </w:rPr>
        <w:t>点见供应商</w:t>
      </w:r>
      <w:r>
        <w:rPr>
          <w:rFonts w:ascii="宋体" w:hAnsi="宋体"/>
        </w:rPr>
        <w:t>须知前附表</w:t>
      </w:r>
      <w:r>
        <w:rPr>
          <w:rFonts w:hint="eastAsia" w:ascii="宋体" w:hAnsi="宋体"/>
        </w:rPr>
        <w:t>。</w:t>
      </w:r>
    </w:p>
    <w:p>
      <w:pPr>
        <w:adjustRightInd w:val="0"/>
        <w:snapToGrid w:val="0"/>
        <w:spacing w:line="360" w:lineRule="auto"/>
        <w:ind w:firstLine="420" w:firstLineChars="200"/>
        <w:rPr>
          <w:rFonts w:ascii="宋体" w:hAnsi="宋体"/>
        </w:rPr>
      </w:pPr>
      <w:r>
        <w:rPr>
          <w:rFonts w:hint="eastAsia" w:ascii="宋体" w:hAnsi="宋体"/>
        </w:rPr>
        <w:t>（3）成交供应商的响应文件本应作为无效处理或者有采购法律法规规章制度规定的成交无效情形的，采购单位在取得有权主体的认定以后，将宣布发出的成交通知书无效，并收回发出的成交通知书（成交供应商应当退回），依法重新确定成交供应商或者重新开展采购活动。</w:t>
      </w:r>
    </w:p>
    <w:p>
      <w:pPr>
        <w:adjustRightInd w:val="0"/>
        <w:snapToGrid w:val="0"/>
        <w:spacing w:line="360" w:lineRule="auto"/>
        <w:ind w:firstLine="420" w:firstLineChars="200"/>
        <w:rPr>
          <w:rFonts w:ascii="宋体" w:hAnsi="宋体"/>
        </w:rPr>
      </w:pPr>
      <w:r>
        <w:rPr>
          <w:rFonts w:hint="eastAsia" w:ascii="宋体" w:hAnsi="宋体"/>
        </w:rPr>
        <w:t>（4）成交通知书对采购人和成交供应商均具有法律效力。成交通知书发出后，采购人改变评审结果，或者成交供应商无正当理由放弃成交的，应当承担相应的法律责任。</w:t>
      </w:r>
    </w:p>
    <w:p>
      <w:pPr>
        <w:pStyle w:val="5"/>
        <w:adjustRightInd w:val="0"/>
        <w:snapToGrid w:val="0"/>
        <w:spacing w:before="0" w:after="0" w:line="360" w:lineRule="auto"/>
        <w:rPr>
          <w:rFonts w:ascii="宋体" w:hAnsi="宋体"/>
          <w:bCs w:val="0"/>
          <w:szCs w:val="28"/>
        </w:rPr>
      </w:pPr>
      <w:bookmarkStart w:id="104" w:name="_Toc112257049"/>
      <w:bookmarkStart w:id="105" w:name="_Toc217446064"/>
      <w:bookmarkStart w:id="106" w:name="_Toc308164810"/>
      <w:bookmarkStart w:id="107" w:name="_Toc518487351"/>
      <w:bookmarkStart w:id="108" w:name="_Toc183682377"/>
      <w:bookmarkStart w:id="109" w:name="_Toc183582240"/>
      <w:r>
        <w:rPr>
          <w:rFonts w:hint="eastAsia" w:ascii="宋体" w:hAnsi="宋体"/>
          <w:bCs w:val="0"/>
          <w:szCs w:val="28"/>
        </w:rPr>
        <w:t>六、签订及履行合同和验收</w:t>
      </w:r>
      <w:bookmarkEnd w:id="104"/>
      <w:bookmarkEnd w:id="105"/>
      <w:bookmarkEnd w:id="106"/>
      <w:bookmarkEnd w:id="107"/>
    </w:p>
    <w:p>
      <w:pPr>
        <w:adjustRightInd w:val="0"/>
        <w:snapToGrid w:val="0"/>
        <w:spacing w:line="360" w:lineRule="auto"/>
        <w:ind w:firstLine="482" w:firstLineChars="200"/>
        <w:rPr>
          <w:rFonts w:ascii="宋体" w:hAnsi="宋体"/>
          <w:b/>
          <w:sz w:val="24"/>
        </w:rPr>
      </w:pPr>
      <w:bookmarkStart w:id="110" w:name="_Toc308164811"/>
      <w:bookmarkStart w:id="111" w:name="_Toc217446065"/>
      <w:r>
        <w:rPr>
          <w:rFonts w:hint="eastAsia" w:ascii="宋体" w:hAnsi="宋体"/>
          <w:b/>
          <w:sz w:val="24"/>
        </w:rPr>
        <w:t>27、签订合同</w:t>
      </w:r>
      <w:bookmarkEnd w:id="110"/>
      <w:bookmarkEnd w:id="111"/>
    </w:p>
    <w:p>
      <w:pPr>
        <w:adjustRightInd w:val="0"/>
        <w:snapToGrid w:val="0"/>
        <w:spacing w:line="360" w:lineRule="auto"/>
        <w:ind w:firstLine="420" w:firstLineChars="200"/>
        <w:rPr>
          <w:rFonts w:ascii="宋体" w:hAnsi="宋体"/>
          <w:szCs w:val="21"/>
        </w:rPr>
      </w:pPr>
      <w:r>
        <w:rPr>
          <w:rFonts w:hint="eastAsia" w:ascii="宋体" w:hAnsi="宋体"/>
          <w:szCs w:val="21"/>
        </w:rPr>
        <w:t>（1）成交供应商应在本</w:t>
      </w:r>
      <w:r>
        <w:rPr>
          <w:rFonts w:ascii="宋体" w:hAnsi="宋体"/>
          <w:szCs w:val="21"/>
        </w:rPr>
        <w:t>采购</w:t>
      </w:r>
      <w:r>
        <w:rPr>
          <w:rFonts w:hint="eastAsia" w:ascii="宋体" w:hAnsi="宋体"/>
          <w:szCs w:val="21"/>
        </w:rPr>
        <w:t>文件规定的时间内与采购人签订采购合同，</w:t>
      </w:r>
      <w:r>
        <w:rPr>
          <w:rFonts w:ascii="宋体" w:hAnsi="宋体"/>
          <w:szCs w:val="21"/>
        </w:rPr>
        <w:t>如在本</w:t>
      </w:r>
      <w:r>
        <w:rPr>
          <w:rFonts w:hint="eastAsia" w:ascii="宋体" w:hAnsi="宋体"/>
          <w:szCs w:val="21"/>
        </w:rPr>
        <w:t>文件</w:t>
      </w:r>
      <w:r>
        <w:rPr>
          <w:rFonts w:ascii="宋体" w:hAnsi="宋体"/>
          <w:szCs w:val="21"/>
        </w:rPr>
        <w:t>中</w:t>
      </w:r>
      <w:r>
        <w:rPr>
          <w:rFonts w:hint="eastAsia" w:ascii="宋体" w:hAnsi="宋体"/>
          <w:szCs w:val="21"/>
        </w:rPr>
        <w:t>未</w:t>
      </w:r>
      <w:r>
        <w:rPr>
          <w:rFonts w:ascii="宋体" w:hAnsi="宋体"/>
          <w:szCs w:val="21"/>
        </w:rPr>
        <w:t>作</w:t>
      </w:r>
      <w:r>
        <w:rPr>
          <w:rFonts w:hint="eastAsia" w:ascii="宋体" w:hAnsi="宋体"/>
          <w:szCs w:val="21"/>
        </w:rPr>
        <w:t>出</w:t>
      </w:r>
      <w:r>
        <w:rPr>
          <w:rFonts w:ascii="宋体" w:hAnsi="宋体"/>
          <w:szCs w:val="21"/>
        </w:rPr>
        <w:t>明确</w:t>
      </w:r>
      <w:r>
        <w:rPr>
          <w:rFonts w:hint="eastAsia" w:ascii="宋体" w:hAnsi="宋体"/>
          <w:szCs w:val="21"/>
        </w:rPr>
        <w:t>约</w:t>
      </w:r>
      <w:r>
        <w:rPr>
          <w:rFonts w:ascii="宋体" w:hAnsi="宋体"/>
          <w:szCs w:val="21"/>
        </w:rPr>
        <w:t>定，</w:t>
      </w:r>
      <w:r>
        <w:rPr>
          <w:rFonts w:hint="eastAsia" w:ascii="宋体" w:hAnsi="宋体"/>
          <w:szCs w:val="21"/>
        </w:rPr>
        <w:t>最</w:t>
      </w:r>
      <w:r>
        <w:rPr>
          <w:rFonts w:ascii="宋体" w:hAnsi="宋体"/>
          <w:szCs w:val="21"/>
        </w:rPr>
        <w:t>长不得超过法定</w:t>
      </w:r>
      <w:r>
        <w:rPr>
          <w:rFonts w:hint="eastAsia" w:ascii="宋体" w:hAnsi="宋体"/>
          <w:szCs w:val="21"/>
        </w:rPr>
        <w:t>30日。由于成交供应商的原因逾期未与采购人签订采购合同的，将视为放弃成交，取消其成交资格并将按相关规定进行处理。</w:t>
      </w:r>
    </w:p>
    <w:p>
      <w:pPr>
        <w:adjustRightInd w:val="0"/>
        <w:snapToGrid w:val="0"/>
        <w:spacing w:line="360" w:lineRule="auto"/>
        <w:ind w:firstLine="420" w:firstLineChars="200"/>
        <w:rPr>
          <w:rFonts w:ascii="宋体" w:hAnsi="宋体"/>
          <w:szCs w:val="21"/>
        </w:rPr>
      </w:pPr>
      <w:r>
        <w:rPr>
          <w:rFonts w:hint="eastAsia" w:ascii="宋体" w:hAnsi="宋体"/>
          <w:szCs w:val="21"/>
        </w:rPr>
        <w:t>（2）采购人不得向成交供应商提出任何不合理的要求，作为签订合同的条件，不得与成交供应商私下订立背离合同实质性内容的任何协议，所签订的合同不得对磋商文件和响应文件确定的事项进行修改。</w:t>
      </w:r>
    </w:p>
    <w:p>
      <w:pPr>
        <w:adjustRightInd w:val="0"/>
        <w:snapToGrid w:val="0"/>
        <w:spacing w:line="360" w:lineRule="auto"/>
        <w:ind w:firstLine="482" w:firstLineChars="200"/>
        <w:rPr>
          <w:rFonts w:ascii="宋体" w:hAnsi="宋体"/>
          <w:szCs w:val="21"/>
        </w:rPr>
      </w:pPr>
      <w:r>
        <w:rPr>
          <w:rFonts w:hint="eastAsia" w:ascii="宋体" w:hAnsi="宋体"/>
          <w:b/>
          <w:sz w:val="24"/>
        </w:rPr>
        <w:t>28、合同分包</w:t>
      </w:r>
    </w:p>
    <w:p>
      <w:pPr>
        <w:adjustRightInd w:val="0"/>
        <w:snapToGrid w:val="0"/>
        <w:spacing w:line="360" w:lineRule="auto"/>
        <w:ind w:firstLine="420" w:firstLineChars="200"/>
        <w:rPr>
          <w:rFonts w:ascii="宋体" w:hAnsi="宋体"/>
          <w:szCs w:val="21"/>
        </w:rPr>
      </w:pPr>
      <w:r>
        <w:rPr>
          <w:rFonts w:hint="eastAsia" w:ascii="宋体" w:hAnsi="宋体"/>
          <w:szCs w:val="21"/>
        </w:rPr>
        <w:t>本采购不得采取分包方式履行合同。</w:t>
      </w:r>
    </w:p>
    <w:p>
      <w:pPr>
        <w:adjustRightInd w:val="0"/>
        <w:snapToGrid w:val="0"/>
        <w:spacing w:line="360" w:lineRule="auto"/>
        <w:ind w:firstLine="482" w:firstLineChars="200"/>
        <w:rPr>
          <w:rFonts w:ascii="宋体" w:hAnsi="宋体"/>
          <w:b/>
          <w:sz w:val="24"/>
        </w:rPr>
      </w:pPr>
      <w:r>
        <w:rPr>
          <w:rFonts w:hint="eastAsia" w:ascii="宋体" w:hAnsi="宋体"/>
          <w:b/>
          <w:sz w:val="24"/>
        </w:rPr>
        <w:t>29、合同转包</w:t>
      </w:r>
    </w:p>
    <w:p>
      <w:pPr>
        <w:adjustRightInd w:val="0"/>
        <w:snapToGrid w:val="0"/>
        <w:spacing w:line="360" w:lineRule="auto"/>
        <w:ind w:firstLine="420" w:firstLineChars="200"/>
        <w:rPr>
          <w:rFonts w:ascii="宋体" w:hAnsi="宋体"/>
          <w:szCs w:val="21"/>
        </w:rPr>
      </w:pPr>
      <w:r>
        <w:rPr>
          <w:rFonts w:hint="eastAsia" w:ascii="宋体" w:hAnsi="宋体"/>
          <w:szCs w:val="21"/>
        </w:rPr>
        <w:t>本采购项目严禁成交供应商将任何采购合同转包。本项目所称转包，是指成交供应商将采购合同义务转让给第三人，并退出现有采购合同当事人双方的权利义务关系，受让人（即第三人）成为采购合同的另一方当事人的行为。成交供应商转包的，视同拒绝履行采购合同义务，将依法追究法律责任。</w:t>
      </w:r>
    </w:p>
    <w:p>
      <w:pPr>
        <w:adjustRightInd w:val="0"/>
        <w:snapToGrid w:val="0"/>
        <w:spacing w:line="360" w:lineRule="auto"/>
        <w:ind w:firstLine="482" w:firstLineChars="200"/>
        <w:rPr>
          <w:rFonts w:ascii="宋体" w:hAnsi="宋体"/>
          <w:sz w:val="24"/>
        </w:rPr>
      </w:pPr>
      <w:bookmarkStart w:id="112" w:name="_Toc308164812"/>
      <w:bookmarkStart w:id="113" w:name="_Toc217446068"/>
      <w:r>
        <w:rPr>
          <w:rFonts w:hint="eastAsia" w:ascii="宋体" w:hAnsi="宋体"/>
          <w:b/>
          <w:sz w:val="24"/>
        </w:rPr>
        <w:t>30、履约保证金</w:t>
      </w:r>
      <w:bookmarkEnd w:id="112"/>
      <w:bookmarkEnd w:id="113"/>
    </w:p>
    <w:p>
      <w:pPr>
        <w:adjustRightInd w:val="0"/>
        <w:snapToGrid w:val="0"/>
        <w:spacing w:line="360" w:lineRule="auto"/>
        <w:ind w:firstLine="420" w:firstLineChars="200"/>
        <w:rPr>
          <w:rFonts w:ascii="宋体" w:hAnsi="宋体"/>
          <w:szCs w:val="21"/>
        </w:rPr>
      </w:pPr>
      <w:r>
        <w:rPr>
          <w:rFonts w:hint="eastAsia" w:ascii="宋体" w:hAnsi="宋体"/>
          <w:szCs w:val="21"/>
        </w:rPr>
        <w:t>本项目不收取履约保证金</w:t>
      </w:r>
    </w:p>
    <w:p>
      <w:pPr>
        <w:adjustRightInd w:val="0"/>
        <w:snapToGrid w:val="0"/>
        <w:spacing w:line="360" w:lineRule="auto"/>
        <w:ind w:firstLine="482" w:firstLineChars="200"/>
        <w:rPr>
          <w:rFonts w:ascii="宋体" w:hAnsi="宋体"/>
          <w:b/>
          <w:sz w:val="24"/>
        </w:rPr>
      </w:pPr>
      <w:bookmarkStart w:id="114" w:name="_Toc217446069"/>
      <w:bookmarkStart w:id="115" w:name="_Toc308164813"/>
      <w:r>
        <w:rPr>
          <w:rFonts w:hint="eastAsia" w:ascii="宋体" w:hAnsi="宋体"/>
          <w:b/>
          <w:sz w:val="24"/>
        </w:rPr>
        <w:t>31、履行合同</w:t>
      </w:r>
      <w:bookmarkEnd w:id="114"/>
      <w:bookmarkEnd w:id="115"/>
    </w:p>
    <w:p>
      <w:pPr>
        <w:adjustRightInd w:val="0"/>
        <w:snapToGrid w:val="0"/>
        <w:spacing w:line="360" w:lineRule="auto"/>
        <w:ind w:firstLine="420" w:firstLineChars="200"/>
        <w:rPr>
          <w:rFonts w:ascii="宋体" w:hAnsi="宋体"/>
          <w:szCs w:val="21"/>
        </w:rPr>
      </w:pPr>
      <w:r>
        <w:rPr>
          <w:rFonts w:hint="eastAsia" w:ascii="宋体" w:hAnsi="宋体"/>
          <w:szCs w:val="21"/>
        </w:rPr>
        <w:t>（1）成交供应商与采购人签订合同后，合同双方应严格执行合同条款，履行合同规定的义务，保证合同的顺利完成。</w:t>
      </w:r>
    </w:p>
    <w:p>
      <w:pPr>
        <w:adjustRightInd w:val="0"/>
        <w:snapToGrid w:val="0"/>
        <w:spacing w:line="360" w:lineRule="auto"/>
        <w:ind w:firstLine="420" w:firstLineChars="200"/>
        <w:rPr>
          <w:rFonts w:ascii="宋体" w:hAnsi="宋体"/>
          <w:szCs w:val="21"/>
        </w:rPr>
      </w:pPr>
      <w:r>
        <w:rPr>
          <w:rFonts w:hint="eastAsia" w:ascii="宋体" w:hAnsi="宋体"/>
          <w:szCs w:val="21"/>
        </w:rPr>
        <w:t>（2）在合同履行过程中，如发生合同纠纷，合同双方应按照《合同法》的有关规定进行处理。</w:t>
      </w:r>
    </w:p>
    <w:p>
      <w:pPr>
        <w:adjustRightInd w:val="0"/>
        <w:snapToGrid w:val="0"/>
        <w:spacing w:line="360" w:lineRule="auto"/>
        <w:ind w:firstLine="482" w:firstLineChars="200"/>
        <w:rPr>
          <w:rFonts w:ascii="宋体" w:hAnsi="宋体"/>
          <w:b/>
          <w:sz w:val="24"/>
        </w:rPr>
      </w:pPr>
      <w:bookmarkStart w:id="116" w:name="_Toc308164814"/>
      <w:bookmarkStart w:id="117" w:name="_Toc217446070"/>
      <w:r>
        <w:rPr>
          <w:rFonts w:hint="eastAsia" w:ascii="宋体" w:hAnsi="宋体"/>
          <w:b/>
          <w:sz w:val="24"/>
        </w:rPr>
        <w:t>32、验收</w:t>
      </w:r>
      <w:bookmarkEnd w:id="116"/>
      <w:bookmarkEnd w:id="117"/>
    </w:p>
    <w:p>
      <w:pPr>
        <w:adjustRightInd w:val="0"/>
        <w:snapToGrid w:val="0"/>
        <w:spacing w:line="360" w:lineRule="auto"/>
        <w:ind w:firstLine="420" w:firstLineChars="200"/>
        <w:rPr>
          <w:rFonts w:ascii="宋体" w:hAnsi="宋体"/>
          <w:szCs w:val="21"/>
        </w:rPr>
      </w:pPr>
      <w:r>
        <w:rPr>
          <w:rFonts w:hint="eastAsia" w:ascii="宋体" w:hAnsi="宋体"/>
          <w:szCs w:val="21"/>
        </w:rPr>
        <w:t>本项目采购人将严格按照采购相关法律法规和相关行业规范等要求组织验收。</w:t>
      </w:r>
    </w:p>
    <w:p>
      <w:pPr>
        <w:adjustRightInd w:val="0"/>
        <w:snapToGrid w:val="0"/>
        <w:spacing w:line="360" w:lineRule="auto"/>
        <w:ind w:firstLine="482" w:firstLineChars="200"/>
        <w:rPr>
          <w:rFonts w:ascii="宋体" w:hAnsi="宋体"/>
          <w:b/>
          <w:sz w:val="24"/>
        </w:rPr>
      </w:pPr>
      <w:bookmarkStart w:id="118" w:name="_Toc217446077"/>
      <w:bookmarkStart w:id="119" w:name="_Toc308164818"/>
      <w:bookmarkStart w:id="120" w:name="_Toc217446071"/>
      <w:r>
        <w:rPr>
          <w:rFonts w:hint="eastAsia" w:ascii="宋体" w:hAnsi="宋体"/>
          <w:b/>
          <w:sz w:val="24"/>
        </w:rPr>
        <w:t>33、资金支付</w:t>
      </w:r>
      <w:bookmarkEnd w:id="118"/>
      <w:bookmarkEnd w:id="119"/>
    </w:p>
    <w:p>
      <w:pPr>
        <w:adjustRightInd w:val="0"/>
        <w:snapToGrid w:val="0"/>
        <w:spacing w:line="360" w:lineRule="auto"/>
        <w:ind w:firstLine="420" w:firstLineChars="200"/>
        <w:rPr>
          <w:rFonts w:ascii="宋体" w:hAnsi="宋体"/>
          <w:szCs w:val="21"/>
        </w:rPr>
      </w:pPr>
      <w:r>
        <w:rPr>
          <w:rFonts w:hint="eastAsia" w:ascii="宋体" w:hAnsi="宋体"/>
          <w:szCs w:val="21"/>
        </w:rPr>
        <w:t>采购人将按照采购合同约定向成交供应商支付采购资金。</w:t>
      </w:r>
    </w:p>
    <w:bookmarkEnd w:id="108"/>
    <w:bookmarkEnd w:id="109"/>
    <w:bookmarkEnd w:id="120"/>
    <w:p>
      <w:pPr>
        <w:pStyle w:val="5"/>
        <w:adjustRightInd w:val="0"/>
        <w:snapToGrid w:val="0"/>
        <w:spacing w:before="0" w:after="0" w:line="360" w:lineRule="auto"/>
        <w:rPr>
          <w:rFonts w:ascii="宋体" w:hAnsi="宋体"/>
          <w:bCs w:val="0"/>
          <w:szCs w:val="28"/>
        </w:rPr>
      </w:pPr>
      <w:bookmarkStart w:id="121" w:name="_Toc308164815"/>
      <w:bookmarkStart w:id="122" w:name="_Toc518487352"/>
      <w:bookmarkStart w:id="123" w:name="_Toc217446074"/>
      <w:bookmarkStart w:id="124" w:name="_Toc112257050"/>
      <w:bookmarkStart w:id="125" w:name="_Toc183682380"/>
      <w:bookmarkStart w:id="126" w:name="_Toc183582243"/>
      <w:r>
        <w:rPr>
          <w:rFonts w:hint="eastAsia" w:ascii="宋体" w:hAnsi="宋体"/>
          <w:bCs w:val="0"/>
          <w:szCs w:val="28"/>
        </w:rPr>
        <w:t>七、磋商纪律要求</w:t>
      </w:r>
      <w:bookmarkEnd w:id="121"/>
      <w:bookmarkEnd w:id="122"/>
      <w:bookmarkEnd w:id="123"/>
      <w:bookmarkEnd w:id="124"/>
    </w:p>
    <w:p>
      <w:pPr>
        <w:adjustRightInd w:val="0"/>
        <w:snapToGrid w:val="0"/>
        <w:spacing w:line="360" w:lineRule="auto"/>
        <w:ind w:firstLine="482" w:firstLineChars="200"/>
        <w:rPr>
          <w:rFonts w:ascii="宋体" w:hAnsi="宋体"/>
          <w:b/>
          <w:bCs/>
          <w:sz w:val="24"/>
        </w:rPr>
      </w:pPr>
      <w:bookmarkStart w:id="127" w:name="_Toc308164816"/>
      <w:bookmarkStart w:id="128" w:name="_Toc217446075"/>
      <w:r>
        <w:rPr>
          <w:rFonts w:hint="eastAsia" w:ascii="宋体" w:hAnsi="宋体"/>
          <w:b/>
          <w:sz w:val="24"/>
        </w:rPr>
        <w:t>34、</w:t>
      </w:r>
      <w:r>
        <w:rPr>
          <w:rFonts w:hint="eastAsia" w:ascii="宋体" w:hAnsi="宋体"/>
          <w:b/>
          <w:bCs/>
          <w:sz w:val="24"/>
        </w:rPr>
        <w:t>供应商不得具有的情形</w:t>
      </w:r>
      <w:bookmarkEnd w:id="127"/>
      <w:bookmarkEnd w:id="128"/>
    </w:p>
    <w:p>
      <w:pPr>
        <w:adjustRightInd w:val="0"/>
        <w:snapToGrid w:val="0"/>
        <w:spacing w:line="360" w:lineRule="auto"/>
        <w:ind w:firstLine="420" w:firstLineChars="200"/>
        <w:rPr>
          <w:rFonts w:ascii="宋体" w:hAnsi="宋体"/>
          <w:szCs w:val="21"/>
        </w:rPr>
      </w:pPr>
      <w:r>
        <w:rPr>
          <w:rFonts w:hint="eastAsia" w:ascii="宋体" w:hAnsi="宋体"/>
          <w:szCs w:val="21"/>
        </w:rPr>
        <w:t>供应商参加本项目磋商不得有下列情形：</w:t>
      </w:r>
    </w:p>
    <w:p>
      <w:pPr>
        <w:adjustRightInd w:val="0"/>
        <w:snapToGrid w:val="0"/>
        <w:spacing w:line="360" w:lineRule="auto"/>
        <w:ind w:firstLine="420" w:firstLineChars="200"/>
        <w:rPr>
          <w:rFonts w:ascii="宋体" w:hAnsi="宋体"/>
          <w:szCs w:val="21"/>
        </w:rPr>
      </w:pPr>
      <w:r>
        <w:rPr>
          <w:rFonts w:hint="eastAsia" w:ascii="宋体" w:hAnsi="宋体"/>
          <w:szCs w:val="21"/>
        </w:rPr>
        <w:t>（1）提供虚假材料谋取成交；</w:t>
      </w:r>
    </w:p>
    <w:p>
      <w:pPr>
        <w:adjustRightInd w:val="0"/>
        <w:snapToGrid w:val="0"/>
        <w:spacing w:line="360" w:lineRule="auto"/>
        <w:ind w:firstLine="420" w:firstLineChars="200"/>
        <w:rPr>
          <w:rFonts w:ascii="宋体" w:hAnsi="宋体"/>
          <w:szCs w:val="21"/>
        </w:rPr>
      </w:pPr>
      <w:r>
        <w:rPr>
          <w:rFonts w:hint="eastAsia" w:ascii="宋体" w:hAnsi="宋体"/>
          <w:szCs w:val="21"/>
        </w:rPr>
        <w:t>（2）采取不正当手段诋毁、排挤其他供应商；</w:t>
      </w:r>
    </w:p>
    <w:p>
      <w:pPr>
        <w:adjustRightInd w:val="0"/>
        <w:snapToGrid w:val="0"/>
        <w:spacing w:line="360" w:lineRule="auto"/>
        <w:ind w:firstLine="420" w:firstLineChars="200"/>
        <w:rPr>
          <w:rFonts w:ascii="宋体" w:hAnsi="宋体"/>
          <w:szCs w:val="21"/>
        </w:rPr>
      </w:pPr>
      <w:r>
        <w:rPr>
          <w:rFonts w:hint="eastAsia" w:ascii="宋体" w:hAnsi="宋体"/>
          <w:szCs w:val="21"/>
        </w:rPr>
        <w:t>（3）与采购单位、其他供应商恶意串通；</w:t>
      </w:r>
    </w:p>
    <w:p>
      <w:pPr>
        <w:adjustRightInd w:val="0"/>
        <w:snapToGrid w:val="0"/>
        <w:spacing w:line="360" w:lineRule="auto"/>
        <w:ind w:firstLine="420" w:firstLineChars="200"/>
        <w:rPr>
          <w:rFonts w:ascii="宋体" w:hAnsi="宋体"/>
          <w:szCs w:val="21"/>
        </w:rPr>
      </w:pPr>
      <w:r>
        <w:rPr>
          <w:rFonts w:hint="eastAsia" w:ascii="宋体" w:hAnsi="宋体"/>
          <w:szCs w:val="21"/>
        </w:rPr>
        <w:t>（4）向采购单位、评审小组</w:t>
      </w:r>
      <w:r>
        <w:rPr>
          <w:rFonts w:ascii="宋体" w:hAnsi="宋体"/>
          <w:szCs w:val="21"/>
        </w:rPr>
        <w:t>成员</w:t>
      </w:r>
      <w:r>
        <w:rPr>
          <w:rFonts w:hint="eastAsia" w:ascii="宋体" w:hAnsi="宋体"/>
          <w:szCs w:val="21"/>
        </w:rPr>
        <w:t>行贿或者提供其他不正当利益；</w:t>
      </w:r>
    </w:p>
    <w:p>
      <w:pPr>
        <w:adjustRightInd w:val="0"/>
        <w:snapToGrid w:val="0"/>
        <w:spacing w:line="360" w:lineRule="auto"/>
        <w:ind w:firstLine="420" w:firstLineChars="200"/>
        <w:rPr>
          <w:rFonts w:ascii="宋体" w:hAnsi="宋体"/>
          <w:szCs w:val="21"/>
        </w:rPr>
      </w:pPr>
      <w:r>
        <w:rPr>
          <w:rFonts w:hint="eastAsia" w:ascii="宋体" w:hAnsi="宋体"/>
          <w:szCs w:val="21"/>
        </w:rPr>
        <w:t>（5）成交后无正当理由拒不与采购人签订采购合同；</w:t>
      </w:r>
    </w:p>
    <w:p>
      <w:pPr>
        <w:adjustRightInd w:val="0"/>
        <w:snapToGrid w:val="0"/>
        <w:spacing w:line="360" w:lineRule="auto"/>
        <w:ind w:firstLine="420" w:firstLineChars="200"/>
        <w:rPr>
          <w:rFonts w:ascii="宋体" w:hAnsi="宋体"/>
          <w:szCs w:val="21"/>
        </w:rPr>
      </w:pPr>
      <w:r>
        <w:rPr>
          <w:rFonts w:hint="eastAsia" w:ascii="宋体" w:hAnsi="宋体"/>
          <w:szCs w:val="21"/>
        </w:rPr>
        <w:t>（6）未按照采购文件确定的事项签订采购合同；</w:t>
      </w:r>
    </w:p>
    <w:p>
      <w:pPr>
        <w:adjustRightInd w:val="0"/>
        <w:snapToGrid w:val="0"/>
        <w:spacing w:line="360" w:lineRule="auto"/>
        <w:ind w:firstLine="420" w:firstLineChars="200"/>
        <w:rPr>
          <w:rFonts w:ascii="宋体" w:hAnsi="宋体"/>
          <w:szCs w:val="21"/>
        </w:rPr>
      </w:pPr>
      <w:r>
        <w:rPr>
          <w:rFonts w:hint="eastAsia" w:ascii="宋体" w:hAnsi="宋体"/>
          <w:szCs w:val="21"/>
        </w:rPr>
        <w:t>（7）将采购合同转包或者违规分包；</w:t>
      </w:r>
    </w:p>
    <w:p>
      <w:pPr>
        <w:adjustRightInd w:val="0"/>
        <w:snapToGrid w:val="0"/>
        <w:spacing w:line="360" w:lineRule="auto"/>
        <w:ind w:firstLine="420" w:firstLineChars="200"/>
        <w:rPr>
          <w:rFonts w:ascii="宋体" w:hAnsi="宋体"/>
          <w:szCs w:val="21"/>
        </w:rPr>
      </w:pPr>
      <w:r>
        <w:rPr>
          <w:rFonts w:hint="eastAsia" w:ascii="宋体" w:hAnsi="宋体"/>
          <w:szCs w:val="21"/>
        </w:rPr>
        <w:t>（8）提供假冒伪劣产品；</w:t>
      </w:r>
    </w:p>
    <w:p>
      <w:pPr>
        <w:adjustRightInd w:val="0"/>
        <w:snapToGrid w:val="0"/>
        <w:spacing w:line="360" w:lineRule="auto"/>
        <w:ind w:firstLine="420" w:firstLineChars="200"/>
        <w:rPr>
          <w:rFonts w:ascii="宋体" w:hAnsi="宋体"/>
          <w:szCs w:val="21"/>
        </w:rPr>
      </w:pPr>
      <w:r>
        <w:rPr>
          <w:rFonts w:hint="eastAsia" w:ascii="宋体" w:hAnsi="宋体"/>
          <w:szCs w:val="21"/>
        </w:rPr>
        <w:t>（9）擅自变更、中止或者终止采购合同；</w:t>
      </w:r>
    </w:p>
    <w:p>
      <w:pPr>
        <w:adjustRightInd w:val="0"/>
        <w:snapToGrid w:val="0"/>
        <w:spacing w:line="360" w:lineRule="auto"/>
        <w:ind w:firstLine="420" w:firstLineChars="200"/>
        <w:rPr>
          <w:rFonts w:ascii="宋体" w:hAnsi="宋体"/>
          <w:szCs w:val="21"/>
        </w:rPr>
      </w:pPr>
      <w:r>
        <w:rPr>
          <w:rFonts w:hint="eastAsia" w:ascii="宋体" w:hAnsi="宋体"/>
          <w:szCs w:val="21"/>
        </w:rPr>
        <w:t>（10）拒绝有关部门的监督检查或者向监督检查部门提供虚假情况；</w:t>
      </w:r>
    </w:p>
    <w:p>
      <w:pPr>
        <w:adjustRightInd w:val="0"/>
        <w:snapToGrid w:val="0"/>
        <w:spacing w:line="360" w:lineRule="auto"/>
        <w:ind w:firstLine="420" w:firstLineChars="200"/>
        <w:rPr>
          <w:rFonts w:ascii="宋体" w:hAnsi="宋体"/>
          <w:szCs w:val="21"/>
        </w:rPr>
      </w:pPr>
      <w:r>
        <w:rPr>
          <w:rFonts w:hint="eastAsia" w:ascii="宋体" w:hAnsi="宋体"/>
          <w:szCs w:val="21"/>
        </w:rPr>
        <w:t>（11）法律法规规定的其他情形。</w:t>
      </w:r>
    </w:p>
    <w:p>
      <w:pPr>
        <w:adjustRightInd w:val="0"/>
        <w:snapToGrid w:val="0"/>
        <w:spacing w:line="360" w:lineRule="auto"/>
        <w:ind w:firstLine="420" w:firstLineChars="200"/>
        <w:rPr>
          <w:rFonts w:ascii="宋体" w:hAnsi="宋体"/>
          <w:szCs w:val="21"/>
        </w:rPr>
      </w:pPr>
      <w:r>
        <w:rPr>
          <w:rFonts w:hint="eastAsia" w:ascii="宋体" w:hAnsi="宋体"/>
          <w:szCs w:val="21"/>
        </w:rPr>
        <w:t>供应商有上述情形的，按照规定追究法律责任，具备（1）-（11）条情形之一的，同时将取消成交资格或者认定成交无效。</w:t>
      </w:r>
    </w:p>
    <w:p>
      <w:pPr>
        <w:pStyle w:val="5"/>
        <w:adjustRightInd w:val="0"/>
        <w:snapToGrid w:val="0"/>
        <w:spacing w:before="0" w:after="0" w:line="360" w:lineRule="auto"/>
        <w:rPr>
          <w:rFonts w:ascii="宋体" w:hAnsi="宋体"/>
          <w:bCs w:val="0"/>
          <w:szCs w:val="28"/>
        </w:rPr>
      </w:pPr>
      <w:bookmarkStart w:id="129" w:name="_Toc217446078"/>
      <w:bookmarkStart w:id="130" w:name="_Toc518487353"/>
      <w:bookmarkStart w:id="131" w:name="_Toc112257051"/>
      <w:bookmarkStart w:id="132" w:name="_Toc308164819"/>
      <w:r>
        <w:rPr>
          <w:rFonts w:hint="eastAsia" w:ascii="宋体" w:hAnsi="宋体"/>
          <w:bCs w:val="0"/>
          <w:szCs w:val="28"/>
        </w:rPr>
        <w:t>八、询问、质疑和投诉</w:t>
      </w:r>
      <w:bookmarkEnd w:id="129"/>
      <w:bookmarkEnd w:id="130"/>
      <w:bookmarkEnd w:id="131"/>
      <w:bookmarkEnd w:id="132"/>
      <w:bookmarkStart w:id="133" w:name="_Toc217446079"/>
    </w:p>
    <w:bookmarkEnd w:id="125"/>
    <w:bookmarkEnd w:id="126"/>
    <w:bookmarkEnd w:id="133"/>
    <w:p>
      <w:pPr>
        <w:adjustRightInd w:val="0"/>
        <w:snapToGrid w:val="0"/>
        <w:spacing w:line="360" w:lineRule="auto"/>
        <w:ind w:firstLine="482" w:firstLineChars="200"/>
        <w:rPr>
          <w:rFonts w:ascii="宋体" w:hAnsi="宋体"/>
          <w:b/>
          <w:sz w:val="24"/>
        </w:rPr>
      </w:pPr>
      <w:r>
        <w:rPr>
          <w:rFonts w:hint="eastAsia" w:ascii="宋体" w:hAnsi="宋体"/>
          <w:b/>
          <w:sz w:val="24"/>
        </w:rPr>
        <w:t>35、询问、质疑、投诉的接收和处理</w:t>
      </w:r>
    </w:p>
    <w:p>
      <w:pPr>
        <w:adjustRightInd w:val="0"/>
        <w:snapToGrid w:val="0"/>
        <w:spacing w:line="360" w:lineRule="auto"/>
        <w:ind w:firstLine="420" w:firstLineChars="200"/>
        <w:rPr>
          <w:rFonts w:ascii="宋体" w:hAnsi="宋体"/>
          <w:szCs w:val="21"/>
        </w:rPr>
      </w:pPr>
      <w:r>
        <w:rPr>
          <w:rFonts w:hint="eastAsia" w:ascii="宋体" w:hAnsi="宋体"/>
          <w:szCs w:val="21"/>
        </w:rPr>
        <w:t>严格按照《中华人共和国采购法》、《中华人民共和国采购法实施条例》、《采购质疑和投诉办法》的规定办理。</w:t>
      </w:r>
    </w:p>
    <w:p>
      <w:pPr>
        <w:pStyle w:val="5"/>
        <w:adjustRightInd w:val="0"/>
        <w:snapToGrid w:val="0"/>
        <w:spacing w:before="0" w:after="0" w:line="360" w:lineRule="auto"/>
        <w:rPr>
          <w:rFonts w:ascii="宋体" w:hAnsi="宋体"/>
          <w:bCs w:val="0"/>
          <w:szCs w:val="28"/>
        </w:rPr>
      </w:pPr>
      <w:bookmarkStart w:id="134" w:name="_Toc518487354"/>
      <w:bookmarkStart w:id="135" w:name="_Toc112257052"/>
      <w:r>
        <w:rPr>
          <w:rFonts w:hint="eastAsia" w:ascii="宋体" w:hAnsi="宋体"/>
          <w:bCs w:val="0"/>
          <w:szCs w:val="28"/>
        </w:rPr>
        <w:t>九、其他</w:t>
      </w:r>
      <w:bookmarkEnd w:id="134"/>
      <w:bookmarkEnd w:id="135"/>
    </w:p>
    <w:p>
      <w:pPr>
        <w:adjustRightInd w:val="0"/>
        <w:snapToGrid w:val="0"/>
        <w:spacing w:line="360" w:lineRule="auto"/>
        <w:ind w:firstLine="482" w:firstLineChars="200"/>
        <w:rPr>
          <w:rFonts w:ascii="宋体" w:hAnsi="宋体"/>
          <w:sz w:val="24"/>
        </w:rPr>
      </w:pPr>
      <w:r>
        <w:rPr>
          <w:rFonts w:hint="eastAsia" w:ascii="宋体" w:hAnsi="宋体"/>
          <w:b/>
          <w:sz w:val="24"/>
        </w:rPr>
        <w:t>36、本磋商文件中所引相关法律制度规定在采购中有变化的，按照变化后的相关法律制度规定执行。</w:t>
      </w:r>
    </w:p>
    <w:p>
      <w:pPr>
        <w:adjustRightInd w:val="0"/>
        <w:snapToGrid w:val="0"/>
        <w:spacing w:line="360" w:lineRule="auto"/>
        <w:ind w:firstLine="420" w:firstLineChars="200"/>
        <w:rPr>
          <w:rFonts w:ascii="宋体" w:hAnsi="宋体"/>
          <w:szCs w:val="21"/>
        </w:rPr>
      </w:pPr>
      <w:r>
        <w:rPr>
          <w:rFonts w:hint="eastAsia" w:ascii="宋体" w:hAnsi="宋体"/>
          <w:szCs w:val="21"/>
        </w:rPr>
        <w:t>在本项目响应文件</w:t>
      </w:r>
      <w:r>
        <w:rPr>
          <w:rFonts w:ascii="宋体" w:hAnsi="宋体"/>
          <w:szCs w:val="21"/>
        </w:rPr>
        <w:t>递交</w:t>
      </w:r>
      <w:r>
        <w:rPr>
          <w:rFonts w:hint="eastAsia" w:ascii="宋体" w:hAnsi="宋体"/>
          <w:szCs w:val="21"/>
        </w:rPr>
        <w:t>截止时间届满后，因相关法律制度规定的变化导致不符合相关法律制度规定的，直接按照变化后的相关法律制度规定执行，本磋商文件不再做调整。</w:t>
      </w:r>
    </w:p>
    <w:p>
      <w:pPr>
        <w:spacing w:line="360" w:lineRule="auto"/>
        <w:ind w:firstLine="720" w:firstLineChars="200"/>
        <w:rPr>
          <w:rFonts w:ascii="宋体" w:hAnsi="宋体" w:cs="黑体"/>
          <w:sz w:val="36"/>
          <w:szCs w:val="36"/>
        </w:rPr>
      </w:pPr>
    </w:p>
    <w:p>
      <w:pPr>
        <w:pStyle w:val="4"/>
        <w:spacing w:before="0" w:after="0" w:line="360" w:lineRule="auto"/>
        <w:jc w:val="center"/>
        <w:rPr>
          <w:rFonts w:ascii="宋体" w:hAnsi="宋体" w:cs="黑体"/>
          <w:sz w:val="36"/>
          <w:szCs w:val="36"/>
        </w:rPr>
      </w:pPr>
      <w:r>
        <w:rPr>
          <w:rFonts w:ascii="宋体" w:hAnsi="宋体" w:cs="黑体"/>
          <w:sz w:val="36"/>
          <w:szCs w:val="36"/>
        </w:rPr>
        <w:br w:type="page"/>
      </w:r>
      <w:bookmarkStart w:id="136" w:name="_Toc518487355"/>
      <w:bookmarkStart w:id="137" w:name="_Toc112257053"/>
      <w:r>
        <w:rPr>
          <w:rFonts w:hint="eastAsia" w:ascii="宋体" w:hAnsi="宋体" w:cs="黑体"/>
          <w:sz w:val="36"/>
          <w:szCs w:val="36"/>
        </w:rPr>
        <w:t>第三章  响应文件格式</w:t>
      </w:r>
      <w:bookmarkEnd w:id="136"/>
      <w:r>
        <w:rPr>
          <w:rFonts w:hint="eastAsia" w:ascii="宋体" w:hAnsi="宋体" w:cs="黑体"/>
          <w:sz w:val="36"/>
          <w:szCs w:val="36"/>
        </w:rPr>
        <w:t>（资格、技术、报价部分）</w:t>
      </w:r>
      <w:bookmarkEnd w:id="137"/>
    </w:p>
    <w:p>
      <w:pPr>
        <w:spacing w:line="360" w:lineRule="auto"/>
        <w:ind w:firstLine="723" w:firstLineChars="200"/>
        <w:jc w:val="center"/>
        <w:rPr>
          <w:rFonts w:ascii="宋体" w:hAnsi="宋体" w:cs="黑体"/>
          <w:b/>
          <w:bCs/>
          <w:sz w:val="36"/>
          <w:szCs w:val="36"/>
        </w:rPr>
      </w:pPr>
    </w:p>
    <w:p>
      <w:pPr>
        <w:pStyle w:val="26"/>
        <w:adjustRightInd w:val="0"/>
        <w:snapToGrid w:val="0"/>
        <w:spacing w:line="360" w:lineRule="auto"/>
        <w:ind w:firstLine="630" w:firstLineChars="196"/>
        <w:rPr>
          <w:rFonts w:hAnsi="宋体"/>
          <w:b/>
          <w:bCs/>
          <w:sz w:val="32"/>
          <w:szCs w:val="32"/>
        </w:rPr>
      </w:pPr>
      <w:bookmarkStart w:id="138" w:name="_Toc308164821"/>
      <w:bookmarkStart w:id="139" w:name="_Toc217446082"/>
      <w:bookmarkStart w:id="140" w:name="_Toc217446083"/>
    </w:p>
    <w:p>
      <w:pPr>
        <w:pStyle w:val="26"/>
        <w:adjustRightInd w:val="0"/>
        <w:snapToGrid w:val="0"/>
        <w:spacing w:line="360" w:lineRule="auto"/>
        <w:ind w:firstLine="472" w:firstLineChars="196"/>
        <w:rPr>
          <w:rFonts w:hAnsi="宋体"/>
          <w:b/>
          <w:bCs/>
          <w:sz w:val="24"/>
          <w:szCs w:val="24"/>
          <w:u w:val="single"/>
        </w:rPr>
      </w:pPr>
      <w:r>
        <w:rPr>
          <w:rFonts w:hint="eastAsia" w:hAnsi="宋体"/>
          <w:b/>
          <w:bCs/>
          <w:sz w:val="24"/>
          <w:szCs w:val="24"/>
        </w:rPr>
        <w:t>说明：</w:t>
      </w:r>
      <w:r>
        <w:rPr>
          <w:rFonts w:hint="eastAsia" w:hAnsi="宋体"/>
          <w:bCs/>
          <w:sz w:val="24"/>
          <w:szCs w:val="24"/>
        </w:rPr>
        <w:t>请拟参加本项目的供应商按照本章格式编制</w:t>
      </w:r>
      <w:r>
        <w:rPr>
          <w:rFonts w:hint="eastAsia" w:hAnsi="宋体"/>
          <w:sz w:val="24"/>
          <w:szCs w:val="24"/>
        </w:rPr>
        <w:t>“响应文件－资格性部分”</w:t>
      </w:r>
      <w:r>
        <w:rPr>
          <w:rFonts w:hAnsi="宋体"/>
          <w:sz w:val="24"/>
          <w:szCs w:val="24"/>
        </w:rPr>
        <w:t>、</w:t>
      </w:r>
      <w:r>
        <w:rPr>
          <w:rFonts w:hint="eastAsia" w:hAnsi="宋体"/>
          <w:sz w:val="24"/>
          <w:szCs w:val="24"/>
        </w:rPr>
        <w:t>“ 响应文件－技术服务部分”</w:t>
      </w:r>
      <w:r>
        <w:rPr>
          <w:rFonts w:hAnsi="宋体"/>
          <w:sz w:val="24"/>
          <w:szCs w:val="24"/>
        </w:rPr>
        <w:t>、</w:t>
      </w:r>
      <w:r>
        <w:rPr>
          <w:rFonts w:hint="eastAsia" w:hAnsi="宋体"/>
          <w:sz w:val="24"/>
          <w:szCs w:val="24"/>
        </w:rPr>
        <w:t>“ 响应文件－报价部分”。</w:t>
      </w:r>
    </w:p>
    <w:p>
      <w:pPr>
        <w:spacing w:line="360" w:lineRule="auto"/>
        <w:rPr>
          <w:rFonts w:ascii="宋体" w:hAnsi="宋体"/>
          <w:sz w:val="24"/>
        </w:rPr>
      </w:pPr>
      <w:r>
        <w:rPr>
          <w:rFonts w:ascii="宋体" w:hAnsi="宋体"/>
          <w:sz w:val="32"/>
          <w:szCs w:val="32"/>
        </w:rPr>
        <w:br w:type="page"/>
      </w:r>
    </w:p>
    <w:p>
      <w:pPr>
        <w:spacing w:line="780" w:lineRule="exact"/>
        <w:jc w:val="right"/>
        <w:rPr>
          <w:rFonts w:ascii="宋体" w:hAnsi="宋体"/>
          <w:b/>
          <w:sz w:val="32"/>
          <w:szCs w:val="52"/>
        </w:rPr>
      </w:pPr>
      <w:r>
        <w:rPr>
          <w:rFonts w:hint="eastAsia" w:ascii="宋体" w:hAnsi="宋体"/>
          <w:sz w:val="24"/>
        </w:rPr>
        <w:t>封面格式</w:t>
      </w:r>
      <w:r>
        <w:rPr>
          <w:rFonts w:hint="eastAsia" w:ascii="宋体" w:hAnsi="宋体"/>
          <w:b/>
          <w:sz w:val="32"/>
          <w:szCs w:val="52"/>
        </w:rPr>
        <w:t>〔正本/副本〕</w:t>
      </w:r>
    </w:p>
    <w:p>
      <w:pPr>
        <w:spacing w:line="360" w:lineRule="auto"/>
        <w:rPr>
          <w:rFonts w:ascii="宋体" w:hAnsi="宋体"/>
          <w:sz w:val="24"/>
        </w:rPr>
      </w:pPr>
    </w:p>
    <w:p>
      <w:pPr>
        <w:spacing w:line="360" w:lineRule="auto"/>
        <w:jc w:val="center"/>
        <w:rPr>
          <w:rFonts w:ascii="宋体" w:hAnsi="宋体"/>
          <w:b/>
          <w:sz w:val="52"/>
          <w:szCs w:val="52"/>
        </w:rPr>
      </w:pPr>
    </w:p>
    <w:p>
      <w:pPr>
        <w:spacing w:line="360" w:lineRule="auto"/>
        <w:jc w:val="center"/>
        <w:rPr>
          <w:rFonts w:ascii="宋体" w:hAnsi="宋体"/>
          <w:b/>
          <w:sz w:val="52"/>
          <w:szCs w:val="52"/>
        </w:rPr>
      </w:pPr>
      <w:r>
        <w:rPr>
          <w:rFonts w:hint="eastAsia" w:ascii="宋体" w:hAnsi="宋体"/>
          <w:b/>
          <w:sz w:val="52"/>
          <w:szCs w:val="52"/>
        </w:rPr>
        <w:t>***采购项目</w:t>
      </w:r>
    </w:p>
    <w:p>
      <w:pPr>
        <w:spacing w:line="360" w:lineRule="auto"/>
        <w:ind w:firstLine="1560" w:firstLineChars="300"/>
        <w:jc w:val="right"/>
        <w:rPr>
          <w:rFonts w:ascii="宋体" w:hAnsi="宋体"/>
          <w:sz w:val="52"/>
          <w:szCs w:val="52"/>
        </w:rPr>
      </w:pPr>
    </w:p>
    <w:p>
      <w:pPr>
        <w:spacing w:line="360" w:lineRule="auto"/>
        <w:ind w:firstLine="1560" w:firstLineChars="300"/>
        <w:rPr>
          <w:rFonts w:ascii="宋体" w:hAnsi="宋体"/>
          <w:sz w:val="52"/>
          <w:szCs w:val="52"/>
        </w:rPr>
      </w:pPr>
    </w:p>
    <w:p>
      <w:pPr>
        <w:pStyle w:val="5"/>
        <w:rPr>
          <w:rFonts w:ascii="宋体" w:hAnsi="宋体"/>
        </w:rPr>
      </w:pPr>
      <w:bookmarkStart w:id="141" w:name="_Toc112257054"/>
      <w:r>
        <w:rPr>
          <w:rFonts w:hint="eastAsia" w:ascii="宋体" w:hAnsi="宋体"/>
        </w:rPr>
        <w:t>资格性部分</w:t>
      </w:r>
      <w:bookmarkEnd w:id="141"/>
    </w:p>
    <w:p>
      <w:pPr>
        <w:spacing w:line="360" w:lineRule="auto"/>
        <w:jc w:val="center"/>
        <w:rPr>
          <w:rFonts w:ascii="宋体" w:hAnsi="宋体"/>
          <w:b/>
          <w:sz w:val="52"/>
          <w:szCs w:val="52"/>
        </w:rPr>
      </w:pPr>
    </w:p>
    <w:p>
      <w:pPr>
        <w:rPr>
          <w:rFonts w:ascii="宋体" w:hAnsi="宋体"/>
        </w:rPr>
      </w:pPr>
    </w:p>
    <w:p>
      <w:pPr>
        <w:spacing w:line="360" w:lineRule="auto"/>
        <w:jc w:val="center"/>
        <w:rPr>
          <w:rFonts w:ascii="宋体" w:hAnsi="宋体"/>
          <w:b/>
          <w:sz w:val="52"/>
          <w:szCs w:val="52"/>
        </w:rPr>
      </w:pP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项目</w:t>
      </w:r>
      <w:r>
        <w:rPr>
          <w:rFonts w:ascii="宋体" w:hAnsi="宋体"/>
          <w:sz w:val="24"/>
        </w:rPr>
        <w:t>名称：</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采购人</w:t>
      </w:r>
      <w:r>
        <w:rPr>
          <w:rFonts w:ascii="宋体" w:hAnsi="宋体"/>
          <w:sz w:val="24"/>
        </w:rPr>
        <w:t>：</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供应商全称（盖单位公章</w:t>
      </w:r>
      <w:r>
        <w:rPr>
          <w:rFonts w:ascii="宋体" w:hAnsi="宋体"/>
          <w:sz w:val="24"/>
        </w:rPr>
        <w:t>）：</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日期</w:t>
      </w:r>
      <w:r>
        <w:rPr>
          <w:rFonts w:ascii="宋体" w:hAnsi="宋体"/>
          <w:sz w:val="24"/>
        </w:rPr>
        <w:t>：</w:t>
      </w:r>
      <w:r>
        <w:rPr>
          <w:rFonts w:hint="eastAsia" w:ascii="宋体" w:hAnsi="宋体"/>
          <w:sz w:val="24"/>
          <w:u w:val="single"/>
        </w:rPr>
        <w:t xml:space="preserve">                 年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月    </w:t>
      </w:r>
      <w:r>
        <w:rPr>
          <w:rFonts w:ascii="宋体" w:hAnsi="宋体"/>
          <w:sz w:val="24"/>
          <w:u w:val="single"/>
        </w:rPr>
        <w:t xml:space="preserve">  </w:t>
      </w:r>
      <w:r>
        <w:rPr>
          <w:rFonts w:hint="eastAsia" w:ascii="宋体" w:hAnsi="宋体"/>
          <w:sz w:val="24"/>
          <w:u w:val="single"/>
        </w:rPr>
        <w:t>日</w:t>
      </w:r>
    </w:p>
    <w:p>
      <w:pPr>
        <w:rPr>
          <w:rFonts w:ascii="宋体" w:hAnsi="宋体"/>
        </w:rPr>
      </w:pPr>
    </w:p>
    <w:p>
      <w:pPr>
        <w:pStyle w:val="3"/>
        <w:rPr>
          <w:rFonts w:ascii="宋体" w:hAnsi="宋体"/>
        </w:rPr>
      </w:pPr>
    </w:p>
    <w:p>
      <w:pPr>
        <w:pStyle w:val="3"/>
        <w:rPr>
          <w:rFonts w:ascii="宋体" w:hAnsi="宋体"/>
        </w:rPr>
      </w:pPr>
      <w:r>
        <w:rPr>
          <w:rFonts w:ascii="宋体" w:hAnsi="宋体"/>
        </w:rPr>
        <w:br w:type="page"/>
      </w:r>
    </w:p>
    <w:p>
      <w:pPr>
        <w:pStyle w:val="5"/>
        <w:spacing w:line="360" w:lineRule="auto"/>
        <w:rPr>
          <w:rFonts w:ascii="宋体" w:hAnsi="宋体" w:cs="宋体"/>
          <w:sz w:val="28"/>
          <w:szCs w:val="28"/>
        </w:rPr>
      </w:pPr>
      <w:bookmarkStart w:id="142" w:name="_Toc472608714"/>
      <w:bookmarkStart w:id="143" w:name="_Toc518487357"/>
      <w:bookmarkStart w:id="144" w:name="_Toc112257055"/>
      <w:r>
        <w:rPr>
          <w:rFonts w:hint="eastAsia" w:ascii="宋体" w:hAnsi="宋体" w:cs="宋体"/>
          <w:sz w:val="28"/>
          <w:szCs w:val="28"/>
        </w:rPr>
        <w:t>一、</w:t>
      </w:r>
      <w:bookmarkEnd w:id="142"/>
      <w:bookmarkEnd w:id="143"/>
      <w:bookmarkStart w:id="145" w:name="_Toc518487358"/>
      <w:bookmarkStart w:id="146" w:name="_Toc472608715"/>
      <w:r>
        <w:rPr>
          <w:rFonts w:hint="eastAsia" w:ascii="宋体" w:hAnsi="宋体" w:cs="宋体"/>
          <w:sz w:val="28"/>
          <w:szCs w:val="28"/>
        </w:rPr>
        <w:t>承诺函（格式须符合）</w:t>
      </w:r>
      <w:bookmarkEnd w:id="144"/>
      <w:bookmarkEnd w:id="145"/>
    </w:p>
    <w:bookmarkEnd w:id="146"/>
    <w:p>
      <w:pPr>
        <w:spacing w:line="300" w:lineRule="auto"/>
        <w:rPr>
          <w:rFonts w:ascii="宋体" w:hAnsi="宋体"/>
          <w:szCs w:val="21"/>
        </w:rPr>
      </w:pPr>
      <w:r>
        <w:rPr>
          <w:rFonts w:hint="eastAsia" w:ascii="宋体" w:hAnsi="宋体"/>
          <w:szCs w:val="21"/>
        </w:rPr>
        <w:t>四川省科源工程技术测试中心：</w:t>
      </w:r>
    </w:p>
    <w:p>
      <w:pPr>
        <w:spacing w:line="300" w:lineRule="auto"/>
        <w:ind w:firstLine="420" w:firstLineChars="200"/>
        <w:rPr>
          <w:rFonts w:ascii="宋体" w:hAnsi="宋体"/>
          <w:szCs w:val="21"/>
        </w:rPr>
      </w:pPr>
      <w:r>
        <w:rPr>
          <w:rFonts w:hint="eastAsia" w:ascii="宋体" w:hAnsi="宋体"/>
          <w:szCs w:val="21"/>
        </w:rPr>
        <w:t>我公司作为本次采购项目的供应商，根据磋商文件要求，现郑重承诺如下：</w:t>
      </w:r>
    </w:p>
    <w:p>
      <w:pPr>
        <w:adjustRightInd w:val="0"/>
        <w:snapToGrid w:val="0"/>
        <w:spacing w:line="300" w:lineRule="auto"/>
        <w:ind w:firstLine="420" w:firstLineChars="200"/>
        <w:jc w:val="left"/>
        <w:textAlignment w:val="baseline"/>
        <w:rPr>
          <w:rFonts w:ascii="宋体" w:hAnsi="宋体"/>
          <w:szCs w:val="21"/>
        </w:rPr>
      </w:pPr>
      <w:r>
        <w:rPr>
          <w:rFonts w:hint="eastAsia" w:ascii="宋体" w:hAnsi="宋体"/>
          <w:szCs w:val="21"/>
        </w:rPr>
        <w:t>一、具备《中华人民共和国采购法》第二十二条：</w:t>
      </w:r>
    </w:p>
    <w:p>
      <w:pPr>
        <w:adjustRightInd w:val="0"/>
        <w:snapToGrid w:val="0"/>
        <w:spacing w:line="300" w:lineRule="auto"/>
        <w:ind w:firstLine="420" w:firstLineChars="200"/>
        <w:jc w:val="left"/>
        <w:textAlignment w:val="baseline"/>
        <w:rPr>
          <w:rFonts w:ascii="宋体" w:hAnsi="宋体"/>
          <w:szCs w:val="21"/>
        </w:rPr>
      </w:pPr>
      <w:r>
        <w:rPr>
          <w:rFonts w:hint="eastAsia" w:ascii="宋体" w:hAnsi="宋体"/>
          <w:szCs w:val="21"/>
        </w:rPr>
        <w:t>（一）具有独立承担民事责任的能力；</w:t>
      </w:r>
    </w:p>
    <w:p>
      <w:pPr>
        <w:adjustRightInd w:val="0"/>
        <w:snapToGrid w:val="0"/>
        <w:spacing w:line="300" w:lineRule="auto"/>
        <w:ind w:firstLine="420" w:firstLineChars="200"/>
        <w:jc w:val="left"/>
        <w:textAlignment w:val="baseline"/>
        <w:rPr>
          <w:rFonts w:ascii="宋体" w:hAnsi="宋体"/>
          <w:szCs w:val="21"/>
        </w:rPr>
      </w:pPr>
      <w:r>
        <w:rPr>
          <w:rFonts w:hint="eastAsia" w:ascii="宋体" w:hAnsi="宋体"/>
          <w:szCs w:val="21"/>
        </w:rPr>
        <w:t>（二）具有履行合同所必需的设备和专业技术能力；</w:t>
      </w:r>
    </w:p>
    <w:p>
      <w:pPr>
        <w:adjustRightInd w:val="0"/>
        <w:snapToGrid w:val="0"/>
        <w:spacing w:line="300" w:lineRule="auto"/>
        <w:ind w:firstLine="420" w:firstLineChars="200"/>
        <w:jc w:val="left"/>
        <w:textAlignment w:val="baseline"/>
        <w:rPr>
          <w:rFonts w:ascii="宋体" w:hAnsi="宋体"/>
          <w:szCs w:val="21"/>
        </w:rPr>
      </w:pPr>
      <w:r>
        <w:rPr>
          <w:rFonts w:hint="eastAsia" w:ascii="宋体" w:hAnsi="宋体"/>
          <w:szCs w:val="21"/>
        </w:rPr>
        <w:t>（三）具有良好的商业信誉和健全的财务会计制度；</w:t>
      </w:r>
    </w:p>
    <w:p>
      <w:pPr>
        <w:adjustRightInd w:val="0"/>
        <w:snapToGrid w:val="0"/>
        <w:spacing w:line="300" w:lineRule="auto"/>
        <w:ind w:firstLine="420" w:firstLineChars="200"/>
        <w:jc w:val="left"/>
        <w:textAlignment w:val="baseline"/>
        <w:rPr>
          <w:rFonts w:ascii="宋体" w:hAnsi="宋体"/>
          <w:szCs w:val="21"/>
        </w:rPr>
      </w:pPr>
      <w:r>
        <w:rPr>
          <w:rFonts w:hint="eastAsia" w:ascii="宋体" w:hAnsi="宋体"/>
          <w:szCs w:val="21"/>
        </w:rPr>
        <w:t>（四）具有依法缴纳税收和社会保障资金的记录；</w:t>
      </w:r>
    </w:p>
    <w:p>
      <w:pPr>
        <w:adjustRightInd w:val="0"/>
        <w:snapToGrid w:val="0"/>
        <w:spacing w:line="300" w:lineRule="auto"/>
        <w:ind w:firstLine="420" w:firstLineChars="200"/>
        <w:jc w:val="left"/>
        <w:textAlignment w:val="baseline"/>
        <w:rPr>
          <w:rFonts w:ascii="宋体" w:hAnsi="宋体"/>
          <w:szCs w:val="21"/>
        </w:rPr>
      </w:pPr>
      <w:r>
        <w:rPr>
          <w:rFonts w:hint="eastAsia" w:ascii="宋体" w:hAnsi="宋体"/>
          <w:szCs w:val="21"/>
        </w:rPr>
        <w:t>（五）</w:t>
      </w:r>
      <w:r>
        <w:rPr>
          <w:rFonts w:hint="eastAsia" w:ascii="宋体" w:hAnsi="宋体"/>
          <w:sz w:val="22"/>
          <w:szCs w:val="22"/>
        </w:rPr>
        <w:t>参加本次采购活动前三年内，在经营活动中没有重大违法记录；</w:t>
      </w:r>
    </w:p>
    <w:p>
      <w:pPr>
        <w:adjustRightInd w:val="0"/>
        <w:snapToGrid w:val="0"/>
        <w:spacing w:line="300" w:lineRule="auto"/>
        <w:ind w:firstLine="420" w:firstLineChars="200"/>
        <w:jc w:val="left"/>
        <w:textAlignment w:val="baseline"/>
        <w:rPr>
          <w:rFonts w:ascii="宋体" w:hAnsi="宋体"/>
          <w:szCs w:val="21"/>
        </w:rPr>
      </w:pPr>
      <w:r>
        <w:rPr>
          <w:rFonts w:hint="eastAsia" w:ascii="宋体" w:hAnsi="宋体"/>
          <w:szCs w:val="21"/>
        </w:rPr>
        <w:t>（六）法律、行政法规规定的其他条件；</w:t>
      </w:r>
    </w:p>
    <w:p>
      <w:pPr>
        <w:adjustRightInd w:val="0"/>
        <w:snapToGrid w:val="0"/>
        <w:spacing w:line="300" w:lineRule="auto"/>
        <w:ind w:firstLine="420" w:firstLineChars="200"/>
        <w:jc w:val="left"/>
        <w:textAlignment w:val="baseline"/>
        <w:rPr>
          <w:rFonts w:ascii="宋体" w:hAnsi="宋体"/>
          <w:color w:val="000000"/>
          <w:szCs w:val="21"/>
        </w:rPr>
      </w:pPr>
      <w:r>
        <w:rPr>
          <w:rFonts w:hint="eastAsia" w:ascii="宋体" w:hAnsi="宋体"/>
          <w:szCs w:val="21"/>
        </w:rPr>
        <w:t>二</w:t>
      </w:r>
      <w:r>
        <w:rPr>
          <w:rFonts w:ascii="宋体" w:hAnsi="宋体"/>
          <w:szCs w:val="21"/>
        </w:rPr>
        <w:t>、完全接受和满足本项目</w:t>
      </w:r>
      <w:r>
        <w:rPr>
          <w:rFonts w:hint="eastAsia" w:ascii="宋体" w:hAnsi="宋体"/>
          <w:szCs w:val="21"/>
        </w:rPr>
        <w:t>磋商</w:t>
      </w:r>
      <w:r>
        <w:rPr>
          <w:rFonts w:ascii="宋体" w:hAnsi="宋体"/>
          <w:szCs w:val="21"/>
        </w:rPr>
        <w:t>文件中规定的实质性要求，如对</w:t>
      </w:r>
      <w:r>
        <w:rPr>
          <w:rFonts w:hint="eastAsia" w:ascii="宋体" w:hAnsi="宋体"/>
          <w:szCs w:val="21"/>
        </w:rPr>
        <w:t>磋商</w:t>
      </w:r>
      <w:r>
        <w:rPr>
          <w:rFonts w:ascii="宋体" w:hAnsi="宋体"/>
          <w:szCs w:val="21"/>
        </w:rPr>
        <w:t>文件有异议，已经在</w:t>
      </w:r>
      <w:r>
        <w:rPr>
          <w:rFonts w:hint="eastAsia" w:ascii="宋体" w:hAnsi="宋体"/>
          <w:szCs w:val="21"/>
        </w:rPr>
        <w:t>响应文件</w:t>
      </w:r>
      <w:r>
        <w:rPr>
          <w:rFonts w:ascii="宋体" w:hAnsi="宋体"/>
          <w:szCs w:val="21"/>
        </w:rPr>
        <w:t>递交截止时间届满前依法进行维权救济，不存在对</w:t>
      </w:r>
      <w:r>
        <w:rPr>
          <w:rFonts w:hint="eastAsia" w:ascii="宋体" w:hAnsi="宋体"/>
          <w:szCs w:val="21"/>
        </w:rPr>
        <w:t>磋商</w:t>
      </w:r>
      <w:r>
        <w:rPr>
          <w:rFonts w:ascii="宋体" w:hAnsi="宋体"/>
          <w:szCs w:val="21"/>
        </w:rPr>
        <w:t>文件有异议的同时又参加</w:t>
      </w:r>
      <w:r>
        <w:rPr>
          <w:rFonts w:hint="eastAsia" w:ascii="宋体" w:hAnsi="宋体"/>
          <w:szCs w:val="21"/>
        </w:rPr>
        <w:t>磋商</w:t>
      </w:r>
      <w:r>
        <w:rPr>
          <w:rFonts w:ascii="宋体" w:hAnsi="宋体"/>
          <w:szCs w:val="21"/>
        </w:rPr>
        <w:t>以求侥幸</w:t>
      </w:r>
      <w:r>
        <w:rPr>
          <w:rFonts w:hint="eastAsia" w:ascii="宋体" w:hAnsi="宋体"/>
          <w:szCs w:val="21"/>
        </w:rPr>
        <w:t>成交</w:t>
      </w:r>
      <w:r>
        <w:rPr>
          <w:rFonts w:ascii="宋体" w:hAnsi="宋体"/>
          <w:szCs w:val="21"/>
        </w:rPr>
        <w:t>或者为实现其他非法目的的行为。</w:t>
      </w:r>
    </w:p>
    <w:p>
      <w:pPr>
        <w:spacing w:line="300" w:lineRule="auto"/>
        <w:ind w:firstLine="420" w:firstLineChars="200"/>
        <w:rPr>
          <w:rFonts w:ascii="宋体" w:hAnsi="宋体"/>
          <w:szCs w:val="21"/>
        </w:rPr>
      </w:pPr>
      <w:r>
        <w:rPr>
          <w:rFonts w:hint="eastAsia" w:ascii="宋体" w:hAnsi="宋体"/>
          <w:szCs w:val="21"/>
        </w:rPr>
        <w:t>三、参加本次磋商采购活动，未参与本项目的前期工作，不存在与单位负责人为同一人或者存在直接控股、管理关系的其他供应商参与同一合同项下的采购活动的行为。</w:t>
      </w:r>
    </w:p>
    <w:p>
      <w:pPr>
        <w:spacing w:line="300" w:lineRule="auto"/>
        <w:ind w:firstLine="420" w:firstLineChars="200"/>
        <w:rPr>
          <w:rFonts w:ascii="宋体" w:hAnsi="宋体"/>
          <w:szCs w:val="21"/>
        </w:rPr>
      </w:pPr>
      <w:r>
        <w:rPr>
          <w:rFonts w:hint="eastAsia" w:ascii="宋体" w:hAnsi="宋体"/>
          <w:szCs w:val="21"/>
        </w:rPr>
        <w:t>四、参加本次磋商采购活动，不存在和其他供应商在同一合同项下的采购项目中，同时委托同一个自然人、同一家庭的人员、同一单位的人员作为代理人的行为。</w:t>
      </w:r>
    </w:p>
    <w:p>
      <w:pPr>
        <w:spacing w:line="300" w:lineRule="auto"/>
        <w:ind w:firstLine="420" w:firstLineChars="200"/>
        <w:rPr>
          <w:rFonts w:ascii="宋体" w:hAnsi="宋体"/>
          <w:szCs w:val="21"/>
        </w:rPr>
      </w:pPr>
      <w:r>
        <w:rPr>
          <w:rFonts w:hint="eastAsia" w:ascii="宋体" w:hAnsi="宋体"/>
          <w:szCs w:val="21"/>
        </w:rPr>
        <w:t>五、我单位近三年内</w:t>
      </w:r>
      <w:r>
        <w:rPr>
          <w:rFonts w:hint="eastAsia" w:ascii="宋体" w:hAnsi="宋体"/>
          <w:szCs w:val="21"/>
          <w:u w:val="single"/>
        </w:rPr>
        <w:t>有（  ）/无（ ）</w:t>
      </w:r>
      <w:r>
        <w:rPr>
          <w:rFonts w:hint="eastAsia" w:ascii="宋体" w:hAnsi="宋体"/>
          <w:szCs w:val="21"/>
        </w:rPr>
        <w:t>失信行为，如果有《四川省采购当事人诚信管理办法》（川财采[2015]33号）规定的记入诚信档案的失信行为，将在响应文件-报价部分全面如实反映。</w:t>
      </w:r>
    </w:p>
    <w:p>
      <w:pPr>
        <w:spacing w:line="300" w:lineRule="auto"/>
        <w:ind w:firstLine="420" w:firstLineChars="200"/>
        <w:rPr>
          <w:rFonts w:ascii="宋体" w:hAnsi="宋体"/>
          <w:szCs w:val="21"/>
        </w:rPr>
      </w:pPr>
      <w:r>
        <w:rPr>
          <w:rFonts w:hint="eastAsia" w:ascii="宋体" w:hAnsi="宋体"/>
          <w:szCs w:val="21"/>
        </w:rPr>
        <w:t>六、响应文件中提供的任何材料、资料、技术、服务、商务等响应承诺情况都是真实的、有效的、合法的。</w:t>
      </w:r>
    </w:p>
    <w:p>
      <w:pPr>
        <w:adjustRightInd w:val="0"/>
        <w:snapToGrid w:val="0"/>
        <w:spacing w:line="300" w:lineRule="auto"/>
        <w:ind w:firstLine="420" w:firstLineChars="200"/>
        <w:rPr>
          <w:rFonts w:ascii="宋体" w:hAnsi="宋体"/>
          <w:szCs w:val="21"/>
        </w:rPr>
      </w:pPr>
      <w:r>
        <w:rPr>
          <w:rFonts w:hint="eastAsia" w:ascii="宋体" w:hAnsi="宋体"/>
          <w:szCs w:val="21"/>
        </w:rPr>
        <w:t>七、我方同意本项目磋商有效期为响应文件</w:t>
      </w:r>
      <w:r>
        <w:rPr>
          <w:rFonts w:ascii="宋体" w:hAnsi="宋体"/>
          <w:szCs w:val="21"/>
        </w:rPr>
        <w:t>递交</w:t>
      </w:r>
      <w:r>
        <w:rPr>
          <w:rFonts w:hint="eastAsia" w:ascii="宋体" w:hAnsi="宋体"/>
          <w:szCs w:val="21"/>
        </w:rPr>
        <w:t xml:space="preserve">截止时间届满后 </w:t>
      </w:r>
      <w:r>
        <w:rPr>
          <w:rFonts w:hint="eastAsia" w:ascii="宋体" w:hAnsi="宋体"/>
          <w:color w:val="FF0000"/>
          <w:szCs w:val="21"/>
          <w:u w:val="single"/>
        </w:rPr>
        <w:t xml:space="preserve">60 </w:t>
      </w:r>
      <w:r>
        <w:rPr>
          <w:rFonts w:hint="eastAsia" w:ascii="宋体" w:hAnsi="宋体"/>
          <w:szCs w:val="21"/>
        </w:rPr>
        <w:t>日历天。</w:t>
      </w:r>
    </w:p>
    <w:p>
      <w:pPr>
        <w:adjustRightInd w:val="0"/>
        <w:snapToGrid w:val="0"/>
        <w:spacing w:line="300" w:lineRule="auto"/>
        <w:ind w:firstLine="420" w:firstLineChars="200"/>
        <w:rPr>
          <w:rFonts w:ascii="宋体" w:hAnsi="宋体"/>
          <w:szCs w:val="21"/>
        </w:rPr>
      </w:pPr>
      <w:r>
        <w:rPr>
          <w:rFonts w:hint="eastAsia" w:ascii="宋体" w:hAnsi="宋体"/>
          <w:szCs w:val="21"/>
        </w:rPr>
        <w:t>八、在本项目实施过程中，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w:t>
      </w:r>
    </w:p>
    <w:p>
      <w:pPr>
        <w:adjustRightInd w:val="0"/>
        <w:snapToGrid w:val="0"/>
        <w:spacing w:line="300" w:lineRule="auto"/>
        <w:ind w:firstLine="420" w:firstLineChars="200"/>
        <w:rPr>
          <w:rFonts w:ascii="宋体" w:hAnsi="宋体"/>
          <w:szCs w:val="21"/>
        </w:rPr>
      </w:pPr>
      <w:r>
        <w:rPr>
          <w:rFonts w:hint="eastAsia" w:ascii="宋体" w:hAnsi="宋体"/>
          <w:szCs w:val="21"/>
        </w:rPr>
        <w:t>九、我单位承诺：没有处于禁止参加采购活动期间。</w:t>
      </w:r>
    </w:p>
    <w:p>
      <w:pPr>
        <w:adjustRightInd w:val="0"/>
        <w:snapToGrid w:val="0"/>
        <w:spacing w:line="300" w:lineRule="auto"/>
        <w:ind w:firstLine="420" w:firstLineChars="200"/>
        <w:rPr>
          <w:rFonts w:ascii="宋体" w:hAnsi="宋体"/>
          <w:szCs w:val="21"/>
        </w:rPr>
      </w:pPr>
      <w:r>
        <w:rPr>
          <w:rFonts w:hint="eastAsia" w:ascii="宋体" w:hAnsi="宋体"/>
          <w:szCs w:val="21"/>
        </w:rPr>
        <w:t>本公司对上述承诺的内容事项真实性负责。如经查实上述承诺的内容事项存在虚假，我公司愿意接受以提供虚假材料谋取成交追究法律责任。</w:t>
      </w:r>
    </w:p>
    <w:p>
      <w:pPr>
        <w:spacing w:line="300" w:lineRule="auto"/>
        <w:ind w:firstLine="420" w:firstLineChars="200"/>
        <w:rPr>
          <w:rFonts w:ascii="宋体" w:hAnsi="宋体"/>
          <w:szCs w:val="21"/>
        </w:rPr>
      </w:pPr>
    </w:p>
    <w:p>
      <w:pPr>
        <w:spacing w:line="300" w:lineRule="auto"/>
        <w:jc w:val="left"/>
        <w:rPr>
          <w:rFonts w:ascii="宋体" w:hAnsi="宋体"/>
          <w:szCs w:val="21"/>
        </w:rPr>
      </w:pPr>
      <w:r>
        <w:rPr>
          <w:rFonts w:hint="eastAsia" w:ascii="宋体" w:hAnsi="宋体"/>
          <w:szCs w:val="21"/>
        </w:rPr>
        <w:t>供应商全称（盖单位公章）</w:t>
      </w:r>
      <w:r>
        <w:rPr>
          <w:rFonts w:hint="eastAsia" w:ascii="宋体" w:hAnsi="宋体"/>
          <w:szCs w:val="21"/>
          <w:u w:val="single"/>
        </w:rPr>
        <w:t>：　　</w:t>
      </w:r>
      <w:r>
        <w:rPr>
          <w:rFonts w:ascii="宋体" w:hAnsi="宋体"/>
          <w:szCs w:val="21"/>
          <w:u w:val="single"/>
        </w:rPr>
        <w:t xml:space="preserve">                                </w:t>
      </w:r>
    </w:p>
    <w:p>
      <w:pPr>
        <w:spacing w:line="300" w:lineRule="auto"/>
        <w:jc w:val="left"/>
        <w:rPr>
          <w:rFonts w:ascii="宋体" w:hAnsi="宋体"/>
          <w:szCs w:val="21"/>
          <w:u w:val="single"/>
        </w:rPr>
      </w:pPr>
      <w:r>
        <w:rPr>
          <w:rFonts w:hint="eastAsia" w:ascii="宋体" w:hAnsi="宋体"/>
          <w:szCs w:val="21"/>
        </w:rPr>
        <w:t>法定代表人(负责人)或授权代表（签字）：</w:t>
      </w:r>
      <w:r>
        <w:rPr>
          <w:rFonts w:ascii="宋体" w:hAnsi="宋体"/>
          <w:szCs w:val="21"/>
          <w:u w:val="single"/>
        </w:rPr>
        <w:t xml:space="preserve">          </w:t>
      </w:r>
      <w:r>
        <w:rPr>
          <w:rFonts w:hint="eastAsia" w:ascii="宋体" w:hAnsi="宋体"/>
          <w:szCs w:val="21"/>
          <w:u w:val="single"/>
        </w:rPr>
        <w:t>　　</w:t>
      </w:r>
      <w:r>
        <w:rPr>
          <w:rFonts w:ascii="宋体" w:hAnsi="宋体"/>
          <w:szCs w:val="21"/>
          <w:u w:val="single"/>
        </w:rPr>
        <w:t xml:space="preserve">     </w:t>
      </w:r>
    </w:p>
    <w:p>
      <w:pPr>
        <w:spacing w:line="300" w:lineRule="auto"/>
        <w:jc w:val="left"/>
        <w:rPr>
          <w:rFonts w:ascii="宋体" w:hAnsi="宋体"/>
          <w:szCs w:val="21"/>
        </w:rPr>
      </w:pPr>
      <w:r>
        <w:rPr>
          <w:rFonts w:hint="eastAsia" w:ascii="宋体" w:hAnsi="宋体"/>
          <w:szCs w:val="21"/>
        </w:rPr>
        <w:t>日期：</w:t>
      </w:r>
      <w:r>
        <w:rPr>
          <w:rFonts w:hint="eastAsia" w:ascii="宋体" w:hAnsi="宋体"/>
          <w:szCs w:val="21"/>
          <w:u w:val="single"/>
        </w:rPr>
        <w:t>　　</w:t>
      </w:r>
      <w:r>
        <w:rPr>
          <w:rFonts w:ascii="宋体" w:hAnsi="宋体"/>
          <w:szCs w:val="21"/>
          <w:u w:val="single"/>
        </w:rPr>
        <w:t>　　</w:t>
      </w:r>
      <w:r>
        <w:rPr>
          <w:rFonts w:hint="eastAsia" w:ascii="宋体" w:hAnsi="宋体"/>
          <w:szCs w:val="21"/>
          <w:u w:val="single"/>
        </w:rPr>
        <w:t>年　　</w:t>
      </w:r>
      <w:r>
        <w:rPr>
          <w:rFonts w:ascii="宋体" w:hAnsi="宋体"/>
          <w:szCs w:val="21"/>
          <w:u w:val="single"/>
        </w:rPr>
        <w:t>　　</w:t>
      </w:r>
      <w:r>
        <w:rPr>
          <w:rFonts w:hint="eastAsia" w:ascii="宋体" w:hAnsi="宋体"/>
          <w:szCs w:val="21"/>
          <w:u w:val="single"/>
        </w:rPr>
        <w:t>月　　</w:t>
      </w:r>
      <w:r>
        <w:rPr>
          <w:rFonts w:ascii="宋体" w:hAnsi="宋体"/>
          <w:szCs w:val="21"/>
          <w:u w:val="single"/>
        </w:rPr>
        <w:t>　　　</w:t>
      </w:r>
      <w:r>
        <w:rPr>
          <w:rFonts w:hint="eastAsia" w:ascii="宋体" w:hAnsi="宋体"/>
          <w:szCs w:val="21"/>
          <w:u w:val="single"/>
        </w:rPr>
        <w:t>日</w:t>
      </w:r>
      <w:r>
        <w:rPr>
          <w:rFonts w:hint="eastAsia" w:ascii="宋体" w:hAnsi="宋体"/>
          <w:szCs w:val="21"/>
        </w:rPr>
        <w:t>。</w:t>
      </w:r>
    </w:p>
    <w:p>
      <w:pPr>
        <w:spacing w:line="300" w:lineRule="auto"/>
        <w:jc w:val="left"/>
        <w:rPr>
          <w:rFonts w:ascii="宋体" w:hAnsi="宋体"/>
          <w:szCs w:val="21"/>
        </w:rPr>
      </w:pPr>
    </w:p>
    <w:p>
      <w:pPr>
        <w:pStyle w:val="5"/>
        <w:spacing w:line="360" w:lineRule="auto"/>
        <w:rPr>
          <w:rFonts w:ascii="宋体" w:hAnsi="宋体"/>
          <w:sz w:val="28"/>
          <w:szCs w:val="28"/>
        </w:rPr>
      </w:pPr>
      <w:r>
        <w:rPr>
          <w:rFonts w:ascii="宋体" w:hAnsi="宋体"/>
        </w:rPr>
        <w:br w:type="page"/>
      </w:r>
      <w:bookmarkStart w:id="147" w:name="_Toc112257056"/>
      <w:bookmarkStart w:id="148" w:name="_Toc49351444"/>
      <w:bookmarkStart w:id="149" w:name="_Toc518487359"/>
      <w:r>
        <w:rPr>
          <w:rFonts w:hint="eastAsia" w:ascii="宋体" w:hAnsi="宋体" w:cs="宋体"/>
          <w:sz w:val="28"/>
          <w:szCs w:val="28"/>
        </w:rPr>
        <w:t>二、</w:t>
      </w:r>
      <w:bookmarkStart w:id="150" w:name="_Toc48652533"/>
      <w:r>
        <w:rPr>
          <w:rFonts w:hint="eastAsia" w:ascii="宋体" w:hAnsi="宋体" w:cs="宋体"/>
          <w:sz w:val="28"/>
          <w:szCs w:val="28"/>
        </w:rPr>
        <w:t>供应商基本情况表</w:t>
      </w:r>
      <w:bookmarkEnd w:id="147"/>
      <w:bookmarkEnd w:id="148"/>
      <w:bookmarkEnd w:id="150"/>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jc w:val="center"/>
              <w:rPr>
                <w:rFonts w:ascii="宋体" w:hAnsi="宋体" w:cs="Arial"/>
                <w:bCs/>
                <w:szCs w:val="21"/>
              </w:rPr>
            </w:pPr>
            <w:r>
              <w:rPr>
                <w:rFonts w:hint="eastAsia" w:ascii="宋体" w:hAnsi="宋体" w:cs="Arial"/>
                <w:bCs/>
                <w:szCs w:val="21"/>
              </w:rPr>
              <w:t>供应商名称</w:t>
            </w:r>
          </w:p>
        </w:tc>
        <w:tc>
          <w:tcPr>
            <w:tcW w:w="7560" w:type="dxa"/>
            <w:gridSpan w:val="11"/>
            <w:vAlign w:val="center"/>
          </w:tcPr>
          <w:p>
            <w:pPr>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jc w:val="center"/>
              <w:rPr>
                <w:rFonts w:ascii="宋体" w:hAnsi="宋体" w:cs="Arial"/>
                <w:bCs/>
                <w:szCs w:val="21"/>
              </w:rPr>
            </w:pPr>
            <w:r>
              <w:rPr>
                <w:rFonts w:hint="eastAsia" w:ascii="宋体" w:hAnsi="宋体" w:cs="Arial"/>
                <w:bCs/>
                <w:szCs w:val="21"/>
              </w:rPr>
              <w:t>注册地址</w:t>
            </w:r>
          </w:p>
        </w:tc>
        <w:tc>
          <w:tcPr>
            <w:tcW w:w="4680" w:type="dxa"/>
            <w:gridSpan w:val="6"/>
            <w:vAlign w:val="center"/>
          </w:tcPr>
          <w:p>
            <w:pPr>
              <w:jc w:val="center"/>
              <w:rPr>
                <w:rFonts w:ascii="宋体" w:hAnsi="宋体" w:cs="Arial"/>
                <w:bCs/>
                <w:szCs w:val="21"/>
              </w:rPr>
            </w:pPr>
          </w:p>
        </w:tc>
        <w:tc>
          <w:tcPr>
            <w:tcW w:w="1260" w:type="dxa"/>
            <w:gridSpan w:val="3"/>
            <w:vAlign w:val="center"/>
          </w:tcPr>
          <w:p>
            <w:pPr>
              <w:jc w:val="center"/>
              <w:rPr>
                <w:rFonts w:ascii="宋体" w:hAnsi="宋体" w:cs="Arial"/>
                <w:bCs/>
                <w:szCs w:val="21"/>
              </w:rPr>
            </w:pPr>
            <w:r>
              <w:rPr>
                <w:rFonts w:hint="eastAsia" w:ascii="宋体" w:hAnsi="宋体" w:cs="Arial"/>
                <w:bCs/>
                <w:szCs w:val="21"/>
              </w:rPr>
              <w:t>邮政编码</w:t>
            </w:r>
          </w:p>
        </w:tc>
        <w:tc>
          <w:tcPr>
            <w:tcW w:w="1620" w:type="dxa"/>
            <w:gridSpan w:val="2"/>
            <w:vAlign w:val="center"/>
          </w:tcPr>
          <w:p>
            <w:pPr>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ascii="宋体" w:hAnsi="宋体" w:cs="Arial"/>
                <w:bCs/>
                <w:szCs w:val="21"/>
              </w:rPr>
            </w:pPr>
            <w:r>
              <w:rPr>
                <w:rFonts w:hint="eastAsia" w:ascii="宋体" w:hAnsi="宋体" w:cs="Arial"/>
                <w:bCs/>
                <w:szCs w:val="21"/>
              </w:rPr>
              <w:t>联系方式</w:t>
            </w:r>
          </w:p>
        </w:tc>
        <w:tc>
          <w:tcPr>
            <w:tcW w:w="1080" w:type="dxa"/>
            <w:vAlign w:val="center"/>
          </w:tcPr>
          <w:p>
            <w:pPr>
              <w:jc w:val="center"/>
              <w:rPr>
                <w:rFonts w:ascii="宋体" w:hAnsi="宋体" w:cs="Arial"/>
                <w:bCs/>
                <w:szCs w:val="21"/>
              </w:rPr>
            </w:pPr>
            <w:r>
              <w:rPr>
                <w:rFonts w:hint="eastAsia" w:ascii="宋体" w:hAnsi="宋体" w:cs="Arial"/>
                <w:bCs/>
                <w:szCs w:val="21"/>
              </w:rPr>
              <w:t>联系人</w:t>
            </w:r>
          </w:p>
        </w:tc>
        <w:tc>
          <w:tcPr>
            <w:tcW w:w="3600" w:type="dxa"/>
            <w:gridSpan w:val="5"/>
            <w:vAlign w:val="center"/>
          </w:tcPr>
          <w:p>
            <w:pPr>
              <w:jc w:val="center"/>
              <w:rPr>
                <w:rFonts w:ascii="宋体" w:hAnsi="宋体" w:cs="Arial"/>
                <w:bCs/>
                <w:szCs w:val="21"/>
              </w:rPr>
            </w:pPr>
          </w:p>
        </w:tc>
        <w:tc>
          <w:tcPr>
            <w:tcW w:w="1260" w:type="dxa"/>
            <w:gridSpan w:val="3"/>
            <w:vAlign w:val="center"/>
          </w:tcPr>
          <w:p>
            <w:pPr>
              <w:jc w:val="center"/>
              <w:rPr>
                <w:rFonts w:ascii="宋体" w:hAnsi="宋体" w:cs="Arial"/>
                <w:bCs/>
                <w:szCs w:val="21"/>
              </w:rPr>
            </w:pPr>
            <w:r>
              <w:rPr>
                <w:rFonts w:hint="eastAsia" w:ascii="宋体" w:hAnsi="宋体" w:cs="Arial"/>
                <w:bCs/>
                <w:szCs w:val="21"/>
              </w:rPr>
              <w:t>联系电话</w:t>
            </w:r>
          </w:p>
        </w:tc>
        <w:tc>
          <w:tcPr>
            <w:tcW w:w="1620" w:type="dxa"/>
            <w:gridSpan w:val="2"/>
            <w:vAlign w:val="center"/>
          </w:tcPr>
          <w:p>
            <w:pPr>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jc w:val="center"/>
              <w:rPr>
                <w:rFonts w:ascii="宋体" w:hAnsi="宋体" w:cs="Arial"/>
                <w:bCs/>
                <w:szCs w:val="21"/>
              </w:rPr>
            </w:pPr>
          </w:p>
        </w:tc>
        <w:tc>
          <w:tcPr>
            <w:tcW w:w="1080" w:type="dxa"/>
            <w:vAlign w:val="center"/>
          </w:tcPr>
          <w:p>
            <w:pPr>
              <w:jc w:val="center"/>
              <w:rPr>
                <w:rFonts w:ascii="宋体" w:hAnsi="宋体" w:cs="Arial"/>
                <w:bCs/>
                <w:szCs w:val="21"/>
              </w:rPr>
            </w:pPr>
            <w:r>
              <w:rPr>
                <w:rFonts w:hint="eastAsia" w:ascii="宋体" w:hAnsi="宋体" w:cs="Arial"/>
                <w:bCs/>
                <w:szCs w:val="21"/>
              </w:rPr>
              <w:t>传真</w:t>
            </w:r>
          </w:p>
        </w:tc>
        <w:tc>
          <w:tcPr>
            <w:tcW w:w="3600" w:type="dxa"/>
            <w:gridSpan w:val="5"/>
            <w:vAlign w:val="center"/>
          </w:tcPr>
          <w:p>
            <w:pPr>
              <w:jc w:val="center"/>
              <w:rPr>
                <w:rFonts w:ascii="宋体" w:hAnsi="宋体" w:cs="Arial"/>
                <w:bCs/>
                <w:szCs w:val="21"/>
              </w:rPr>
            </w:pPr>
          </w:p>
        </w:tc>
        <w:tc>
          <w:tcPr>
            <w:tcW w:w="1260" w:type="dxa"/>
            <w:gridSpan w:val="3"/>
            <w:vAlign w:val="center"/>
          </w:tcPr>
          <w:p>
            <w:pPr>
              <w:jc w:val="center"/>
              <w:rPr>
                <w:rFonts w:ascii="宋体" w:hAnsi="宋体" w:cs="Arial"/>
                <w:bCs/>
                <w:szCs w:val="21"/>
              </w:rPr>
            </w:pPr>
            <w:r>
              <w:rPr>
                <w:rFonts w:hint="eastAsia" w:ascii="宋体" w:hAnsi="宋体" w:cs="Arial"/>
                <w:bCs/>
                <w:szCs w:val="21"/>
              </w:rPr>
              <w:t>网址</w:t>
            </w:r>
          </w:p>
        </w:tc>
        <w:tc>
          <w:tcPr>
            <w:tcW w:w="1620" w:type="dxa"/>
            <w:gridSpan w:val="2"/>
            <w:vAlign w:val="center"/>
          </w:tcPr>
          <w:p>
            <w:pPr>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jc w:val="center"/>
              <w:rPr>
                <w:rFonts w:ascii="宋体" w:hAnsi="宋体" w:cs="Arial"/>
                <w:bCs/>
                <w:szCs w:val="21"/>
              </w:rPr>
            </w:pPr>
            <w:r>
              <w:rPr>
                <w:rFonts w:hint="eastAsia" w:ascii="宋体" w:hAnsi="宋体" w:cs="Arial"/>
                <w:bCs/>
                <w:szCs w:val="21"/>
              </w:rPr>
              <w:t>组织结构</w:t>
            </w:r>
          </w:p>
        </w:tc>
        <w:tc>
          <w:tcPr>
            <w:tcW w:w="7560" w:type="dxa"/>
            <w:gridSpan w:val="11"/>
            <w:vAlign w:val="center"/>
          </w:tcPr>
          <w:p>
            <w:pPr>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jc w:val="center"/>
              <w:rPr>
                <w:rFonts w:ascii="宋体" w:hAnsi="宋体" w:cs="Arial"/>
                <w:bCs/>
                <w:szCs w:val="21"/>
              </w:rPr>
            </w:pPr>
            <w:r>
              <w:rPr>
                <w:rFonts w:hint="eastAsia" w:ascii="宋体" w:hAnsi="宋体" w:cs="Arial"/>
                <w:bCs/>
                <w:szCs w:val="21"/>
              </w:rPr>
              <w:t>法定代表人/单位负责人</w:t>
            </w:r>
          </w:p>
        </w:tc>
        <w:tc>
          <w:tcPr>
            <w:tcW w:w="1260" w:type="dxa"/>
            <w:gridSpan w:val="2"/>
            <w:vAlign w:val="center"/>
          </w:tcPr>
          <w:p>
            <w:pPr>
              <w:jc w:val="center"/>
              <w:rPr>
                <w:rFonts w:ascii="宋体" w:hAnsi="宋体" w:cs="Arial"/>
                <w:bCs/>
                <w:szCs w:val="21"/>
              </w:rPr>
            </w:pPr>
            <w:r>
              <w:rPr>
                <w:rFonts w:hint="eastAsia" w:ascii="宋体" w:hAnsi="宋体" w:cs="Arial"/>
                <w:bCs/>
                <w:szCs w:val="21"/>
              </w:rPr>
              <w:t>姓名</w:t>
            </w:r>
          </w:p>
        </w:tc>
        <w:tc>
          <w:tcPr>
            <w:tcW w:w="1260" w:type="dxa"/>
            <w:vAlign w:val="center"/>
          </w:tcPr>
          <w:p>
            <w:pPr>
              <w:jc w:val="center"/>
              <w:rPr>
                <w:rFonts w:ascii="宋体" w:hAnsi="宋体" w:cs="Arial"/>
                <w:bCs/>
                <w:szCs w:val="21"/>
              </w:rPr>
            </w:pPr>
          </w:p>
        </w:tc>
        <w:tc>
          <w:tcPr>
            <w:tcW w:w="1260" w:type="dxa"/>
            <w:vAlign w:val="center"/>
          </w:tcPr>
          <w:p>
            <w:pPr>
              <w:jc w:val="center"/>
              <w:rPr>
                <w:rFonts w:ascii="宋体" w:hAnsi="宋体" w:cs="Arial"/>
                <w:bCs/>
                <w:szCs w:val="21"/>
              </w:rPr>
            </w:pPr>
            <w:r>
              <w:rPr>
                <w:rFonts w:hint="eastAsia" w:ascii="宋体" w:hAnsi="宋体" w:cs="Arial"/>
                <w:bCs/>
                <w:szCs w:val="21"/>
              </w:rPr>
              <w:t>技术职称</w:t>
            </w:r>
          </w:p>
        </w:tc>
        <w:tc>
          <w:tcPr>
            <w:tcW w:w="1260" w:type="dxa"/>
            <w:gridSpan w:val="3"/>
            <w:vAlign w:val="center"/>
          </w:tcPr>
          <w:p>
            <w:pPr>
              <w:jc w:val="center"/>
              <w:rPr>
                <w:rFonts w:ascii="宋体" w:hAnsi="宋体" w:cs="Arial"/>
                <w:bCs/>
                <w:szCs w:val="21"/>
              </w:rPr>
            </w:pPr>
          </w:p>
        </w:tc>
        <w:tc>
          <w:tcPr>
            <w:tcW w:w="1260" w:type="dxa"/>
            <w:gridSpan w:val="3"/>
            <w:vAlign w:val="center"/>
          </w:tcPr>
          <w:p>
            <w:pPr>
              <w:jc w:val="center"/>
              <w:rPr>
                <w:rFonts w:ascii="宋体" w:hAnsi="宋体" w:cs="Arial"/>
                <w:bCs/>
                <w:szCs w:val="21"/>
              </w:rPr>
            </w:pPr>
            <w:r>
              <w:rPr>
                <w:rFonts w:hint="eastAsia" w:ascii="宋体" w:hAnsi="宋体" w:cs="Arial"/>
                <w:bCs/>
                <w:szCs w:val="21"/>
              </w:rPr>
              <w:t>联系电话</w:t>
            </w:r>
          </w:p>
        </w:tc>
        <w:tc>
          <w:tcPr>
            <w:tcW w:w="1260" w:type="dxa"/>
            <w:vAlign w:val="center"/>
          </w:tcPr>
          <w:p>
            <w:pPr>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jc w:val="center"/>
              <w:rPr>
                <w:rFonts w:ascii="宋体" w:hAnsi="宋体" w:cs="Arial"/>
                <w:bCs/>
                <w:szCs w:val="21"/>
              </w:rPr>
            </w:pPr>
            <w:r>
              <w:rPr>
                <w:rFonts w:hint="eastAsia" w:ascii="宋体" w:hAnsi="宋体" w:cs="Arial"/>
                <w:bCs/>
                <w:szCs w:val="21"/>
              </w:rPr>
              <w:t>技术负责人</w:t>
            </w:r>
          </w:p>
        </w:tc>
        <w:tc>
          <w:tcPr>
            <w:tcW w:w="1260" w:type="dxa"/>
            <w:gridSpan w:val="2"/>
            <w:vAlign w:val="center"/>
          </w:tcPr>
          <w:p>
            <w:pPr>
              <w:jc w:val="center"/>
              <w:rPr>
                <w:rFonts w:ascii="宋体" w:hAnsi="宋体" w:cs="Arial"/>
                <w:bCs/>
                <w:szCs w:val="21"/>
              </w:rPr>
            </w:pPr>
            <w:r>
              <w:rPr>
                <w:rFonts w:hint="eastAsia" w:ascii="宋体" w:hAnsi="宋体" w:cs="Arial"/>
                <w:bCs/>
                <w:szCs w:val="21"/>
              </w:rPr>
              <w:t>姓名</w:t>
            </w:r>
          </w:p>
        </w:tc>
        <w:tc>
          <w:tcPr>
            <w:tcW w:w="1260" w:type="dxa"/>
            <w:vAlign w:val="center"/>
          </w:tcPr>
          <w:p>
            <w:pPr>
              <w:jc w:val="center"/>
              <w:rPr>
                <w:rFonts w:ascii="宋体" w:hAnsi="宋体" w:cs="Arial"/>
                <w:bCs/>
                <w:szCs w:val="21"/>
              </w:rPr>
            </w:pPr>
          </w:p>
        </w:tc>
        <w:tc>
          <w:tcPr>
            <w:tcW w:w="1260" w:type="dxa"/>
            <w:vAlign w:val="center"/>
          </w:tcPr>
          <w:p>
            <w:pPr>
              <w:jc w:val="center"/>
              <w:rPr>
                <w:rFonts w:ascii="宋体" w:hAnsi="宋体" w:cs="Arial"/>
                <w:bCs/>
                <w:szCs w:val="21"/>
              </w:rPr>
            </w:pPr>
            <w:r>
              <w:rPr>
                <w:rFonts w:hint="eastAsia" w:ascii="宋体" w:hAnsi="宋体" w:cs="Arial"/>
                <w:bCs/>
                <w:szCs w:val="21"/>
              </w:rPr>
              <w:t>技术职称</w:t>
            </w:r>
          </w:p>
        </w:tc>
        <w:tc>
          <w:tcPr>
            <w:tcW w:w="1260" w:type="dxa"/>
            <w:gridSpan w:val="3"/>
            <w:vAlign w:val="center"/>
          </w:tcPr>
          <w:p>
            <w:pPr>
              <w:jc w:val="center"/>
              <w:rPr>
                <w:rFonts w:ascii="宋体" w:hAnsi="宋体" w:cs="Arial"/>
                <w:bCs/>
                <w:szCs w:val="21"/>
              </w:rPr>
            </w:pPr>
          </w:p>
        </w:tc>
        <w:tc>
          <w:tcPr>
            <w:tcW w:w="1260" w:type="dxa"/>
            <w:gridSpan w:val="3"/>
            <w:vAlign w:val="center"/>
          </w:tcPr>
          <w:p>
            <w:pPr>
              <w:jc w:val="center"/>
              <w:rPr>
                <w:rFonts w:ascii="宋体" w:hAnsi="宋体" w:cs="Arial"/>
                <w:bCs/>
                <w:szCs w:val="21"/>
              </w:rPr>
            </w:pPr>
            <w:r>
              <w:rPr>
                <w:rFonts w:hint="eastAsia" w:ascii="宋体" w:hAnsi="宋体" w:cs="Arial"/>
                <w:bCs/>
                <w:szCs w:val="21"/>
              </w:rPr>
              <w:t>联系电话</w:t>
            </w:r>
          </w:p>
        </w:tc>
        <w:tc>
          <w:tcPr>
            <w:tcW w:w="1260" w:type="dxa"/>
            <w:vAlign w:val="center"/>
          </w:tcPr>
          <w:p>
            <w:pPr>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jc w:val="center"/>
              <w:rPr>
                <w:rFonts w:ascii="宋体" w:hAnsi="宋体" w:cs="Arial"/>
                <w:bCs/>
                <w:szCs w:val="21"/>
              </w:rPr>
            </w:pPr>
            <w:r>
              <w:rPr>
                <w:rFonts w:hint="eastAsia" w:ascii="宋体" w:hAnsi="宋体" w:cs="Arial"/>
                <w:bCs/>
                <w:szCs w:val="21"/>
              </w:rPr>
              <w:t>成立时间</w:t>
            </w:r>
          </w:p>
        </w:tc>
        <w:tc>
          <w:tcPr>
            <w:tcW w:w="2520" w:type="dxa"/>
            <w:gridSpan w:val="3"/>
            <w:vAlign w:val="center"/>
          </w:tcPr>
          <w:p>
            <w:pPr>
              <w:jc w:val="center"/>
              <w:rPr>
                <w:rFonts w:ascii="宋体" w:hAnsi="宋体" w:cs="Arial"/>
                <w:bCs/>
                <w:szCs w:val="21"/>
              </w:rPr>
            </w:pPr>
          </w:p>
        </w:tc>
        <w:tc>
          <w:tcPr>
            <w:tcW w:w="5040" w:type="dxa"/>
            <w:gridSpan w:val="8"/>
            <w:vAlign w:val="center"/>
          </w:tcPr>
          <w:p>
            <w:pPr>
              <w:jc w:val="center"/>
              <w:rPr>
                <w:rFonts w:ascii="宋体" w:hAnsi="宋体" w:cs="Arial"/>
                <w:bCs/>
                <w:szCs w:val="21"/>
              </w:rPr>
            </w:pPr>
            <w:r>
              <w:rPr>
                <w:rFonts w:hint="eastAsia" w:ascii="宋体" w:hAnsi="宋体" w:cs="Arial"/>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jc w:val="center"/>
              <w:rPr>
                <w:rFonts w:ascii="宋体" w:hAnsi="宋体" w:cs="Arial"/>
                <w:bCs/>
                <w:szCs w:val="21"/>
              </w:rPr>
            </w:pPr>
            <w:r>
              <w:rPr>
                <w:rFonts w:hint="eastAsia" w:ascii="宋体" w:hAnsi="宋体" w:cs="Arial"/>
                <w:bCs/>
                <w:szCs w:val="21"/>
              </w:rPr>
              <w:t>企业资质等级</w:t>
            </w:r>
          </w:p>
        </w:tc>
        <w:tc>
          <w:tcPr>
            <w:tcW w:w="2520" w:type="dxa"/>
            <w:gridSpan w:val="3"/>
            <w:vAlign w:val="center"/>
          </w:tcPr>
          <w:p>
            <w:pPr>
              <w:jc w:val="center"/>
              <w:rPr>
                <w:rFonts w:ascii="宋体" w:hAnsi="宋体" w:cs="Arial"/>
                <w:bCs/>
                <w:szCs w:val="21"/>
              </w:rPr>
            </w:pPr>
          </w:p>
        </w:tc>
        <w:tc>
          <w:tcPr>
            <w:tcW w:w="1680" w:type="dxa"/>
            <w:gridSpan w:val="2"/>
            <w:vMerge w:val="restart"/>
            <w:vAlign w:val="center"/>
          </w:tcPr>
          <w:p>
            <w:pPr>
              <w:jc w:val="center"/>
              <w:rPr>
                <w:rFonts w:ascii="宋体" w:hAnsi="宋体" w:cs="Arial"/>
                <w:bCs/>
                <w:szCs w:val="21"/>
              </w:rPr>
            </w:pPr>
            <w:r>
              <w:rPr>
                <w:rFonts w:hint="eastAsia" w:ascii="宋体" w:hAnsi="宋体" w:cs="Arial"/>
                <w:bCs/>
                <w:szCs w:val="21"/>
              </w:rPr>
              <w:t>其中</w:t>
            </w:r>
          </w:p>
        </w:tc>
        <w:tc>
          <w:tcPr>
            <w:tcW w:w="1680" w:type="dxa"/>
            <w:gridSpan w:val="3"/>
            <w:vAlign w:val="center"/>
          </w:tcPr>
          <w:p>
            <w:pPr>
              <w:jc w:val="center"/>
              <w:rPr>
                <w:rFonts w:ascii="宋体" w:hAnsi="宋体" w:cs="Arial"/>
                <w:bCs/>
                <w:szCs w:val="21"/>
              </w:rPr>
            </w:pPr>
            <w:r>
              <w:rPr>
                <w:rFonts w:hint="eastAsia" w:ascii="宋体" w:hAnsi="宋体" w:cs="Arial"/>
                <w:bCs/>
                <w:szCs w:val="21"/>
              </w:rPr>
              <w:t>项目经理</w:t>
            </w:r>
          </w:p>
        </w:tc>
        <w:tc>
          <w:tcPr>
            <w:tcW w:w="1680" w:type="dxa"/>
            <w:gridSpan w:val="3"/>
            <w:vAlign w:val="center"/>
          </w:tcPr>
          <w:p>
            <w:pPr>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jc w:val="center"/>
              <w:rPr>
                <w:rFonts w:ascii="宋体" w:hAnsi="宋体" w:cs="Arial"/>
                <w:bCs/>
                <w:szCs w:val="21"/>
              </w:rPr>
            </w:pPr>
            <w:r>
              <w:rPr>
                <w:rFonts w:hint="eastAsia" w:ascii="宋体" w:hAnsi="宋体" w:cs="Arial"/>
                <w:bCs/>
                <w:szCs w:val="21"/>
              </w:rPr>
              <w:t>营业执照</w:t>
            </w:r>
            <w:r>
              <w:rPr>
                <w:rFonts w:hint="eastAsia" w:ascii="宋体" w:hAnsi="宋体"/>
              </w:rPr>
              <w:t>号</w:t>
            </w:r>
          </w:p>
        </w:tc>
        <w:tc>
          <w:tcPr>
            <w:tcW w:w="2520" w:type="dxa"/>
            <w:gridSpan w:val="3"/>
            <w:vAlign w:val="center"/>
          </w:tcPr>
          <w:p>
            <w:pPr>
              <w:jc w:val="center"/>
              <w:rPr>
                <w:rFonts w:ascii="宋体" w:hAnsi="宋体" w:cs="Arial"/>
                <w:bCs/>
                <w:szCs w:val="21"/>
              </w:rPr>
            </w:pPr>
          </w:p>
        </w:tc>
        <w:tc>
          <w:tcPr>
            <w:tcW w:w="1680" w:type="dxa"/>
            <w:gridSpan w:val="2"/>
            <w:vMerge w:val="continue"/>
            <w:vAlign w:val="center"/>
          </w:tcPr>
          <w:p>
            <w:pPr>
              <w:jc w:val="center"/>
              <w:rPr>
                <w:rFonts w:ascii="宋体" w:hAnsi="宋体" w:cs="Arial"/>
                <w:bCs/>
                <w:szCs w:val="21"/>
              </w:rPr>
            </w:pPr>
          </w:p>
        </w:tc>
        <w:tc>
          <w:tcPr>
            <w:tcW w:w="1680" w:type="dxa"/>
            <w:gridSpan w:val="3"/>
            <w:vAlign w:val="center"/>
          </w:tcPr>
          <w:p>
            <w:pPr>
              <w:jc w:val="center"/>
              <w:rPr>
                <w:rFonts w:ascii="宋体" w:hAnsi="宋体" w:cs="Arial"/>
                <w:bCs/>
                <w:szCs w:val="21"/>
              </w:rPr>
            </w:pPr>
            <w:r>
              <w:rPr>
                <w:rFonts w:hint="eastAsia" w:ascii="宋体" w:hAnsi="宋体" w:cs="Arial"/>
                <w:bCs/>
                <w:szCs w:val="21"/>
              </w:rPr>
              <w:t>高级职称人员</w:t>
            </w:r>
          </w:p>
        </w:tc>
        <w:tc>
          <w:tcPr>
            <w:tcW w:w="1680" w:type="dxa"/>
            <w:gridSpan w:val="3"/>
            <w:vAlign w:val="center"/>
          </w:tcPr>
          <w:p>
            <w:pPr>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jc w:val="center"/>
              <w:rPr>
                <w:rFonts w:ascii="宋体" w:hAnsi="宋体" w:cs="Arial"/>
                <w:bCs/>
                <w:szCs w:val="21"/>
              </w:rPr>
            </w:pPr>
            <w:r>
              <w:rPr>
                <w:rFonts w:hint="eastAsia" w:ascii="宋体" w:hAnsi="宋体" w:cs="Arial"/>
                <w:bCs/>
                <w:szCs w:val="21"/>
              </w:rPr>
              <w:t>注册资金</w:t>
            </w:r>
          </w:p>
        </w:tc>
        <w:tc>
          <w:tcPr>
            <w:tcW w:w="2520" w:type="dxa"/>
            <w:gridSpan w:val="3"/>
            <w:vAlign w:val="center"/>
          </w:tcPr>
          <w:p>
            <w:pPr>
              <w:jc w:val="center"/>
              <w:rPr>
                <w:rFonts w:ascii="宋体" w:hAnsi="宋体" w:cs="Arial"/>
                <w:bCs/>
                <w:szCs w:val="21"/>
              </w:rPr>
            </w:pPr>
          </w:p>
        </w:tc>
        <w:tc>
          <w:tcPr>
            <w:tcW w:w="1680" w:type="dxa"/>
            <w:gridSpan w:val="2"/>
            <w:vMerge w:val="continue"/>
            <w:vAlign w:val="center"/>
          </w:tcPr>
          <w:p>
            <w:pPr>
              <w:jc w:val="center"/>
              <w:rPr>
                <w:rFonts w:ascii="宋体" w:hAnsi="宋体" w:cs="Arial"/>
                <w:bCs/>
                <w:szCs w:val="21"/>
              </w:rPr>
            </w:pPr>
          </w:p>
        </w:tc>
        <w:tc>
          <w:tcPr>
            <w:tcW w:w="1680" w:type="dxa"/>
            <w:gridSpan w:val="3"/>
            <w:vAlign w:val="center"/>
          </w:tcPr>
          <w:p>
            <w:pPr>
              <w:jc w:val="center"/>
              <w:rPr>
                <w:rFonts w:ascii="宋体" w:hAnsi="宋体" w:cs="Arial"/>
                <w:bCs/>
                <w:szCs w:val="21"/>
              </w:rPr>
            </w:pPr>
            <w:r>
              <w:rPr>
                <w:rFonts w:hint="eastAsia" w:ascii="宋体" w:hAnsi="宋体" w:cs="Arial"/>
                <w:bCs/>
                <w:szCs w:val="21"/>
              </w:rPr>
              <w:t>中级职称人员</w:t>
            </w:r>
          </w:p>
        </w:tc>
        <w:tc>
          <w:tcPr>
            <w:tcW w:w="1680" w:type="dxa"/>
            <w:gridSpan w:val="3"/>
            <w:vAlign w:val="center"/>
          </w:tcPr>
          <w:p>
            <w:pPr>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jc w:val="center"/>
              <w:rPr>
                <w:rFonts w:ascii="宋体" w:hAnsi="宋体" w:cs="Arial"/>
                <w:bCs/>
                <w:szCs w:val="21"/>
              </w:rPr>
            </w:pPr>
            <w:r>
              <w:rPr>
                <w:rFonts w:hint="eastAsia" w:ascii="宋体" w:hAnsi="宋体" w:cs="Arial"/>
                <w:bCs/>
                <w:szCs w:val="21"/>
              </w:rPr>
              <w:t>开户银行</w:t>
            </w:r>
          </w:p>
        </w:tc>
        <w:tc>
          <w:tcPr>
            <w:tcW w:w="2520" w:type="dxa"/>
            <w:gridSpan w:val="3"/>
            <w:vAlign w:val="center"/>
          </w:tcPr>
          <w:p>
            <w:pPr>
              <w:jc w:val="center"/>
              <w:rPr>
                <w:rFonts w:ascii="宋体" w:hAnsi="宋体" w:cs="Arial"/>
                <w:bCs/>
                <w:szCs w:val="21"/>
              </w:rPr>
            </w:pPr>
          </w:p>
        </w:tc>
        <w:tc>
          <w:tcPr>
            <w:tcW w:w="1680" w:type="dxa"/>
            <w:gridSpan w:val="2"/>
            <w:vMerge w:val="continue"/>
            <w:vAlign w:val="center"/>
          </w:tcPr>
          <w:p>
            <w:pPr>
              <w:jc w:val="center"/>
              <w:rPr>
                <w:rFonts w:ascii="宋体" w:hAnsi="宋体" w:cs="Arial"/>
                <w:bCs/>
                <w:szCs w:val="21"/>
              </w:rPr>
            </w:pPr>
          </w:p>
        </w:tc>
        <w:tc>
          <w:tcPr>
            <w:tcW w:w="1680" w:type="dxa"/>
            <w:gridSpan w:val="3"/>
            <w:vAlign w:val="center"/>
          </w:tcPr>
          <w:p>
            <w:pPr>
              <w:jc w:val="center"/>
              <w:rPr>
                <w:rFonts w:ascii="宋体" w:hAnsi="宋体" w:cs="Arial"/>
                <w:bCs/>
                <w:szCs w:val="21"/>
              </w:rPr>
            </w:pPr>
            <w:r>
              <w:rPr>
                <w:rFonts w:hint="eastAsia" w:ascii="宋体" w:hAnsi="宋体" w:cs="Arial"/>
                <w:bCs/>
                <w:szCs w:val="21"/>
              </w:rPr>
              <w:t>初级职称人员</w:t>
            </w:r>
          </w:p>
        </w:tc>
        <w:tc>
          <w:tcPr>
            <w:tcW w:w="1680" w:type="dxa"/>
            <w:gridSpan w:val="3"/>
            <w:vAlign w:val="center"/>
          </w:tcPr>
          <w:p>
            <w:pPr>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jc w:val="center"/>
              <w:rPr>
                <w:rFonts w:ascii="宋体" w:hAnsi="宋体" w:cs="Arial"/>
                <w:bCs/>
                <w:szCs w:val="21"/>
              </w:rPr>
            </w:pPr>
            <w:r>
              <w:rPr>
                <w:rFonts w:hint="eastAsia" w:ascii="宋体" w:hAnsi="宋体" w:cs="Arial"/>
                <w:bCs/>
                <w:szCs w:val="21"/>
              </w:rPr>
              <w:t>账号</w:t>
            </w:r>
          </w:p>
        </w:tc>
        <w:tc>
          <w:tcPr>
            <w:tcW w:w="2520" w:type="dxa"/>
            <w:gridSpan w:val="3"/>
            <w:vAlign w:val="center"/>
          </w:tcPr>
          <w:p>
            <w:pPr>
              <w:jc w:val="center"/>
              <w:rPr>
                <w:rFonts w:ascii="宋体" w:hAnsi="宋体" w:cs="Arial"/>
                <w:bCs/>
                <w:szCs w:val="21"/>
              </w:rPr>
            </w:pPr>
          </w:p>
        </w:tc>
        <w:tc>
          <w:tcPr>
            <w:tcW w:w="1680" w:type="dxa"/>
            <w:gridSpan w:val="2"/>
            <w:vMerge w:val="continue"/>
            <w:vAlign w:val="center"/>
          </w:tcPr>
          <w:p>
            <w:pPr>
              <w:jc w:val="center"/>
              <w:rPr>
                <w:rFonts w:ascii="宋体" w:hAnsi="宋体" w:cs="Arial"/>
                <w:bCs/>
                <w:szCs w:val="21"/>
              </w:rPr>
            </w:pPr>
          </w:p>
        </w:tc>
        <w:tc>
          <w:tcPr>
            <w:tcW w:w="1680" w:type="dxa"/>
            <w:gridSpan w:val="3"/>
            <w:vAlign w:val="center"/>
          </w:tcPr>
          <w:p>
            <w:pPr>
              <w:jc w:val="center"/>
              <w:rPr>
                <w:rFonts w:ascii="宋体" w:hAnsi="宋体" w:cs="Arial"/>
                <w:bCs/>
                <w:szCs w:val="21"/>
              </w:rPr>
            </w:pPr>
            <w:r>
              <w:rPr>
                <w:rFonts w:hint="eastAsia" w:ascii="宋体" w:hAnsi="宋体" w:cs="Arial"/>
                <w:bCs/>
                <w:szCs w:val="21"/>
              </w:rPr>
              <w:t>技工</w:t>
            </w:r>
          </w:p>
        </w:tc>
        <w:tc>
          <w:tcPr>
            <w:tcW w:w="1680" w:type="dxa"/>
            <w:gridSpan w:val="3"/>
            <w:vAlign w:val="center"/>
          </w:tcPr>
          <w:p>
            <w:pPr>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jc w:val="center"/>
              <w:rPr>
                <w:rFonts w:ascii="宋体" w:hAnsi="宋体" w:cs="Arial"/>
                <w:bCs/>
                <w:szCs w:val="21"/>
              </w:rPr>
            </w:pPr>
            <w:r>
              <w:rPr>
                <w:rFonts w:hint="eastAsia" w:ascii="宋体" w:hAnsi="宋体" w:cs="Arial"/>
                <w:bCs/>
                <w:szCs w:val="21"/>
              </w:rPr>
              <w:t>经营范围</w:t>
            </w:r>
          </w:p>
        </w:tc>
        <w:tc>
          <w:tcPr>
            <w:tcW w:w="7560" w:type="dxa"/>
            <w:gridSpan w:val="11"/>
            <w:vAlign w:val="center"/>
          </w:tcPr>
          <w:p>
            <w:pPr>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jc w:val="center"/>
              <w:rPr>
                <w:rFonts w:ascii="宋体" w:hAnsi="宋体" w:cs="Arial"/>
                <w:bCs/>
                <w:szCs w:val="21"/>
              </w:rPr>
            </w:pPr>
            <w:r>
              <w:rPr>
                <w:rFonts w:hint="eastAsia" w:ascii="宋体" w:hAnsi="宋体" w:cs="Arial"/>
                <w:bCs/>
                <w:szCs w:val="21"/>
              </w:rPr>
              <w:t>备注</w:t>
            </w:r>
          </w:p>
        </w:tc>
        <w:tc>
          <w:tcPr>
            <w:tcW w:w="7560" w:type="dxa"/>
            <w:gridSpan w:val="11"/>
            <w:vAlign w:val="center"/>
          </w:tcPr>
          <w:p>
            <w:pPr>
              <w:jc w:val="center"/>
              <w:rPr>
                <w:rFonts w:ascii="宋体" w:hAnsi="宋体" w:cs="Arial"/>
                <w:bCs/>
                <w:szCs w:val="21"/>
              </w:rPr>
            </w:pPr>
          </w:p>
        </w:tc>
      </w:tr>
    </w:tbl>
    <w:p>
      <w:pPr>
        <w:spacing w:line="360" w:lineRule="auto"/>
        <w:jc w:val="left"/>
        <w:rPr>
          <w:rFonts w:ascii="宋体" w:hAnsi="宋体" w:cs="黑体"/>
          <w:b/>
          <w:bCs/>
          <w:color w:val="FF0000"/>
          <w:sz w:val="22"/>
          <w:szCs w:val="28"/>
        </w:rPr>
      </w:pPr>
      <w:r>
        <w:rPr>
          <w:rFonts w:hint="eastAsia" w:ascii="宋体" w:hAnsi="宋体" w:cs="黑体"/>
          <w:b/>
          <w:bCs/>
          <w:color w:val="FF0000"/>
          <w:sz w:val="22"/>
          <w:szCs w:val="28"/>
        </w:rPr>
        <w:t>注：本中心将按照本表中的通讯地址、联系人、电话寄发成交（成交）通知书，如需按其他信息邮寄的，请在备注中单独注明。</w:t>
      </w:r>
    </w:p>
    <w:p>
      <w:pPr>
        <w:spacing w:line="360" w:lineRule="auto"/>
        <w:jc w:val="center"/>
        <w:rPr>
          <w:rFonts w:ascii="宋体" w:hAnsi="宋体" w:cs="黑体"/>
          <w:b/>
          <w:bCs/>
          <w:color w:val="FF0000"/>
          <w:sz w:val="22"/>
          <w:szCs w:val="28"/>
        </w:rPr>
      </w:pPr>
    </w:p>
    <w:p>
      <w:pPr>
        <w:pStyle w:val="612"/>
        <w:spacing w:before="240" w:beforeLines="100" w:beforeAutospacing="0" w:after="240" w:afterLines="100" w:afterAutospacing="0" w:line="360" w:lineRule="auto"/>
        <w:ind w:firstLine="360" w:firstLineChars="150"/>
        <w:jc w:val="center"/>
        <w:outlineLvl w:val="1"/>
        <w:rPr>
          <w:b/>
          <w:bCs/>
          <w:sz w:val="28"/>
          <w:szCs w:val="28"/>
        </w:rPr>
      </w:pPr>
      <w:r>
        <w:rPr>
          <w:szCs w:val="21"/>
        </w:rPr>
        <w:br w:type="page"/>
      </w:r>
      <w:bookmarkStart w:id="151" w:name="_Toc112257057"/>
      <w:r>
        <w:rPr>
          <w:rFonts w:hint="eastAsia"/>
          <w:b/>
          <w:bCs/>
          <w:kern w:val="2"/>
          <w:sz w:val="28"/>
          <w:szCs w:val="28"/>
        </w:rPr>
        <w:t>三、供应商营业执照等证明材料</w:t>
      </w:r>
      <w:bookmarkEnd w:id="149"/>
      <w:bookmarkEnd w:id="151"/>
    </w:p>
    <w:p>
      <w:pPr>
        <w:adjustRightInd w:val="0"/>
        <w:snapToGrid w:val="0"/>
        <w:spacing w:line="360" w:lineRule="auto"/>
        <w:jc w:val="center"/>
        <w:textAlignment w:val="baseline"/>
        <w:rPr>
          <w:rFonts w:ascii="宋体" w:hAnsi="宋体"/>
          <w:b/>
          <w:color w:val="FF0000"/>
          <w:szCs w:val="21"/>
          <w:u w:val="single"/>
        </w:rPr>
      </w:pPr>
      <w:r>
        <w:rPr>
          <w:rFonts w:hint="eastAsia" w:ascii="宋体" w:hAnsi="宋体"/>
          <w:b/>
          <w:color w:val="FF0000"/>
          <w:szCs w:val="21"/>
          <w:u w:val="single"/>
        </w:rPr>
        <w:t>供应商营业执照（三证合一）复印件、资质证明等盖单位公章。</w:t>
      </w:r>
    </w:p>
    <w:p>
      <w:pPr>
        <w:rPr>
          <w:rFonts w:ascii="宋体" w:hAnsi="宋体"/>
        </w:rPr>
      </w:pPr>
    </w:p>
    <w:p>
      <w:pPr>
        <w:pStyle w:val="612"/>
        <w:spacing w:before="240" w:beforeLines="100" w:beforeAutospacing="0" w:after="240" w:afterLines="100" w:afterAutospacing="0" w:line="360" w:lineRule="auto"/>
        <w:ind w:firstLine="422" w:firstLineChars="150"/>
        <w:jc w:val="center"/>
        <w:outlineLvl w:val="1"/>
        <w:rPr>
          <w:rFonts w:cs="黑体"/>
          <w:bCs/>
          <w:sz w:val="28"/>
          <w:szCs w:val="28"/>
        </w:rPr>
      </w:pPr>
      <w:bookmarkStart w:id="152" w:name="_Toc112257058"/>
      <w:bookmarkStart w:id="153" w:name="_Toc518487361"/>
      <w:r>
        <w:rPr>
          <w:rFonts w:hint="eastAsia"/>
          <w:b/>
          <w:bCs/>
          <w:kern w:val="2"/>
          <w:sz w:val="28"/>
          <w:szCs w:val="28"/>
        </w:rPr>
        <w:t>四、法定代表人（负责人）身份证明</w:t>
      </w:r>
      <w:bookmarkEnd w:id="152"/>
      <w:bookmarkEnd w:id="153"/>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供应商全称：</w:t>
      </w:r>
      <w:r>
        <w:rPr>
          <w:rFonts w:hint="eastAsia" w:ascii="宋体" w:hAnsi="宋体"/>
          <w:szCs w:val="21"/>
          <w:u w:val="single"/>
        </w:rPr>
        <w:t xml:space="preserve">                                    </w:t>
      </w:r>
    </w:p>
    <w:p>
      <w:pPr>
        <w:spacing w:line="360" w:lineRule="auto"/>
        <w:ind w:firstLine="420" w:firstLineChars="200"/>
        <w:rPr>
          <w:rFonts w:ascii="宋体" w:hAnsi="宋体"/>
          <w:szCs w:val="21"/>
          <w:u w:val="single"/>
        </w:rPr>
      </w:pPr>
      <w:r>
        <w:rPr>
          <w:rFonts w:hint="eastAsia" w:ascii="宋体" w:hAnsi="宋体"/>
          <w:szCs w:val="21"/>
        </w:rPr>
        <w:t>地址：</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420" w:firstLineChars="200"/>
        <w:rPr>
          <w:rFonts w:ascii="宋体" w:hAnsi="宋体"/>
          <w:szCs w:val="21"/>
          <w:u w:val="single"/>
        </w:rPr>
      </w:pPr>
      <w:r>
        <w:rPr>
          <w:rFonts w:hint="eastAsia" w:ascii="宋体" w:hAnsi="宋体"/>
          <w:szCs w:val="21"/>
        </w:rPr>
        <w:t>姓 名：</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p>
    <w:p>
      <w:pPr>
        <w:spacing w:line="360" w:lineRule="auto"/>
        <w:ind w:firstLine="420" w:firstLineChars="200"/>
        <w:rPr>
          <w:rFonts w:ascii="宋体" w:hAnsi="宋体"/>
          <w:szCs w:val="21"/>
          <w:u w:val="single"/>
        </w:rPr>
      </w:pPr>
      <w:r>
        <w:rPr>
          <w:rFonts w:hint="eastAsia" w:ascii="宋体" w:hAnsi="宋体"/>
          <w:szCs w:val="21"/>
        </w:rPr>
        <w:t>职务：</w:t>
      </w:r>
      <w:r>
        <w:rPr>
          <w:rFonts w:hint="eastAsia" w:ascii="宋体" w:hAnsi="宋体"/>
          <w:szCs w:val="21"/>
          <w:u w:val="single"/>
        </w:rPr>
        <w:t xml:space="preserve">        </w:t>
      </w:r>
      <w:r>
        <w:rPr>
          <w:rFonts w:hint="eastAsia" w:ascii="宋体" w:hAnsi="宋体"/>
          <w:szCs w:val="21"/>
        </w:rPr>
        <w:t>系</w:t>
      </w:r>
      <w:r>
        <w:rPr>
          <w:rFonts w:hint="eastAsia" w:ascii="宋体" w:hAnsi="宋体"/>
          <w:szCs w:val="21"/>
          <w:u w:val="single"/>
        </w:rPr>
        <w:t xml:space="preserve">                  （供应商名称）</w:t>
      </w:r>
      <w:r>
        <w:rPr>
          <w:rFonts w:hint="eastAsia" w:ascii="宋体" w:hAnsi="宋体"/>
          <w:szCs w:val="21"/>
        </w:rPr>
        <w:t>的法定代表人（负责人）。</w:t>
      </w:r>
    </w:p>
    <w:p>
      <w:pPr>
        <w:spacing w:line="360" w:lineRule="auto"/>
        <w:ind w:firstLine="420" w:firstLineChars="200"/>
        <w:rPr>
          <w:rFonts w:ascii="宋体" w:hAnsi="宋体"/>
          <w:szCs w:val="21"/>
        </w:rPr>
      </w:pPr>
      <w:r>
        <w:rPr>
          <w:rFonts w:hint="eastAsia" w:ascii="宋体" w:hAnsi="宋体"/>
          <w:szCs w:val="21"/>
        </w:rPr>
        <w:t>特此证明。</w:t>
      </w:r>
    </w:p>
    <w:p>
      <w:pPr>
        <w:spacing w:line="360" w:lineRule="auto"/>
        <w:ind w:firstLine="420" w:firstLineChars="200"/>
        <w:rPr>
          <w:rFonts w:ascii="宋体" w:hAnsi="宋体"/>
          <w:szCs w:val="21"/>
        </w:rPr>
      </w:pPr>
      <w:r>
        <w:rPr>
          <w:rFonts w:hint="eastAsia" w:ascii="宋体" w:hAnsi="宋体"/>
          <w:szCs w:val="21"/>
        </w:rPr>
        <w:t>附：法定代表人（负责人</w:t>
      </w:r>
      <w:r>
        <w:rPr>
          <w:rFonts w:ascii="宋体" w:hAnsi="宋体"/>
          <w:szCs w:val="21"/>
        </w:rPr>
        <w:t>）</w:t>
      </w:r>
      <w:r>
        <w:rPr>
          <w:rFonts w:hint="eastAsia" w:ascii="宋体" w:hAnsi="宋体"/>
          <w:szCs w:val="21"/>
        </w:rPr>
        <w:t>身份证复印件</w:t>
      </w:r>
    </w:p>
    <w:p>
      <w:pPr>
        <w:spacing w:line="360" w:lineRule="auto"/>
        <w:ind w:firstLine="420" w:firstLineChars="200"/>
        <w:rPr>
          <w:rFonts w:ascii="宋体" w:hAnsi="宋体"/>
          <w:szCs w:val="21"/>
        </w:rPr>
      </w:pPr>
    </w:p>
    <w:p>
      <w:pPr>
        <w:spacing w:line="360" w:lineRule="auto"/>
        <w:ind w:right="480" w:firstLine="3360" w:firstLineChars="1600"/>
        <w:rPr>
          <w:rFonts w:ascii="宋体" w:hAnsi="宋体"/>
          <w:szCs w:val="21"/>
          <w:u w:val="single"/>
        </w:rPr>
      </w:pPr>
      <w:r>
        <w:rPr>
          <w:rFonts w:hint="eastAsia" w:ascii="宋体" w:hAnsi="宋体"/>
          <w:szCs w:val="21"/>
        </w:rPr>
        <w:t>供应商全称（盖单位公章）：</w:t>
      </w:r>
      <w:r>
        <w:rPr>
          <w:rFonts w:hint="eastAsia" w:ascii="宋体" w:hAnsi="宋体"/>
          <w:szCs w:val="21"/>
          <w:u w:val="single"/>
        </w:rPr>
        <w:t xml:space="preserve">                 </w:t>
      </w:r>
    </w:p>
    <w:p>
      <w:pPr>
        <w:spacing w:line="360" w:lineRule="auto"/>
        <w:ind w:firstLine="420" w:firstLineChars="200"/>
        <w:jc w:val="right"/>
        <w:rPr>
          <w:rFonts w:ascii="宋体" w:hAnsi="宋体"/>
          <w:szCs w:val="21"/>
        </w:rPr>
      </w:pPr>
      <w:r>
        <w:rPr>
          <w:rFonts w:hint="eastAsia" w:ascii="宋体" w:hAnsi="宋体"/>
          <w:szCs w:val="21"/>
        </w:rPr>
        <w:t xml:space="preserve">年       月       日 </w:t>
      </w:r>
      <w:bookmarkStart w:id="154" w:name="_Toc472608101"/>
      <w:r>
        <w:rPr>
          <w:rFonts w:hint="eastAsia" w:ascii="宋体" w:hAnsi="宋体"/>
          <w:szCs w:val="21"/>
        </w:rPr>
        <w:t xml:space="preserve"> </w:t>
      </w:r>
    </w:p>
    <w:bookmarkEnd w:id="154"/>
    <w:p>
      <w:pPr>
        <w:pStyle w:val="5"/>
        <w:spacing w:line="360" w:lineRule="auto"/>
        <w:rPr>
          <w:rFonts w:ascii="宋体" w:hAnsi="宋体" w:cs="黑体"/>
          <w:bCs w:val="0"/>
          <w:sz w:val="28"/>
          <w:szCs w:val="28"/>
        </w:rPr>
      </w:pPr>
      <w:bookmarkStart w:id="155" w:name="_Toc217446084"/>
      <w:r>
        <w:rPr>
          <w:rFonts w:ascii="宋体" w:hAnsi="宋体" w:cs="黑体"/>
          <w:bCs w:val="0"/>
        </w:rPr>
        <w:br w:type="page"/>
      </w:r>
      <w:bookmarkStart w:id="156" w:name="_Toc112257059"/>
      <w:bookmarkStart w:id="157" w:name="_Toc518487362"/>
      <w:r>
        <w:rPr>
          <w:rFonts w:hint="eastAsia" w:ascii="宋体" w:hAnsi="宋体" w:cs="宋体"/>
          <w:sz w:val="28"/>
          <w:szCs w:val="28"/>
        </w:rPr>
        <w:t>五、法定代表人（负责人）授权书</w:t>
      </w:r>
      <w:bookmarkEnd w:id="156"/>
      <w:bookmarkEnd w:id="157"/>
    </w:p>
    <w:p>
      <w:pPr>
        <w:spacing w:line="360" w:lineRule="auto"/>
        <w:rPr>
          <w:rFonts w:ascii="宋体" w:hAnsi="宋体"/>
          <w:szCs w:val="21"/>
        </w:rPr>
      </w:pPr>
      <w:r>
        <w:rPr>
          <w:rFonts w:hint="eastAsia" w:ascii="宋体" w:hAnsi="宋体"/>
          <w:szCs w:val="21"/>
        </w:rPr>
        <w:t>四川省科源工程技术测试中心：</w:t>
      </w:r>
    </w:p>
    <w:p>
      <w:pPr>
        <w:spacing w:line="360" w:lineRule="auto"/>
        <w:ind w:firstLine="420" w:firstLineChars="200"/>
        <w:rPr>
          <w:rFonts w:ascii="宋体" w:hAnsi="宋体"/>
          <w:szCs w:val="21"/>
        </w:rPr>
      </w:pPr>
      <w:r>
        <w:rPr>
          <w:rFonts w:hint="eastAsia" w:ascii="宋体" w:hAnsi="宋体"/>
          <w:szCs w:val="21"/>
        </w:rPr>
        <w:t>本授权声明：</w:t>
      </w:r>
      <w:r>
        <w:rPr>
          <w:rFonts w:hint="eastAsia" w:ascii="宋体" w:hAnsi="宋体"/>
          <w:szCs w:val="21"/>
          <w:u w:val="single"/>
        </w:rPr>
        <w:t>　　</w:t>
      </w:r>
      <w:r>
        <w:rPr>
          <w:rFonts w:ascii="宋体" w:hAnsi="宋体"/>
          <w:szCs w:val="21"/>
          <w:u w:val="single"/>
        </w:rPr>
        <w:t>　　　</w:t>
      </w:r>
      <w:r>
        <w:rPr>
          <w:rFonts w:hint="eastAsia" w:ascii="宋体" w:hAnsi="宋体"/>
          <w:szCs w:val="21"/>
          <w:u w:val="single"/>
        </w:rPr>
        <w:t>　</w:t>
      </w:r>
      <w:r>
        <w:rPr>
          <w:rFonts w:ascii="宋体" w:hAnsi="宋体"/>
          <w:szCs w:val="21"/>
          <w:u w:val="single"/>
        </w:rPr>
        <w:t>　　　　　　　</w:t>
      </w:r>
      <w:r>
        <w:rPr>
          <w:rFonts w:hint="eastAsia" w:ascii="宋体" w:hAnsi="宋体"/>
          <w:szCs w:val="21"/>
        </w:rPr>
        <w:t>（供应商名称）</w:t>
      </w:r>
      <w:r>
        <w:rPr>
          <w:rFonts w:hint="eastAsia" w:ascii="宋体" w:hAnsi="宋体"/>
          <w:szCs w:val="21"/>
          <w:u w:val="single"/>
        </w:rPr>
        <w:t>　　</w:t>
      </w:r>
      <w:r>
        <w:rPr>
          <w:rFonts w:ascii="宋体" w:hAnsi="宋体"/>
          <w:szCs w:val="21"/>
          <w:u w:val="single"/>
        </w:rPr>
        <w:t>　　　　</w:t>
      </w:r>
      <w:r>
        <w:rPr>
          <w:rFonts w:hint="eastAsia" w:ascii="宋体" w:hAnsi="宋体"/>
          <w:szCs w:val="21"/>
        </w:rPr>
        <w:t>（法定代表人(负责人)姓名、职务）授权</w:t>
      </w:r>
      <w:r>
        <w:rPr>
          <w:rFonts w:hint="eastAsia" w:ascii="宋体" w:hAnsi="宋体"/>
          <w:szCs w:val="21"/>
          <w:u w:val="single"/>
        </w:rPr>
        <w:t xml:space="preserve">                        （</w:t>
      </w:r>
      <w:r>
        <w:rPr>
          <w:rFonts w:hint="eastAsia" w:ascii="宋体" w:hAnsi="宋体"/>
          <w:szCs w:val="21"/>
        </w:rPr>
        <w:t>被授权人姓名）为我方“</w:t>
      </w:r>
      <w:r>
        <w:rPr>
          <w:rFonts w:hint="eastAsia" w:ascii="宋体" w:hAnsi="宋体"/>
          <w:szCs w:val="21"/>
          <w:u w:val="single"/>
        </w:rPr>
        <w:t>　　</w:t>
      </w:r>
      <w:r>
        <w:rPr>
          <w:rFonts w:ascii="宋体" w:hAnsi="宋体"/>
          <w:szCs w:val="21"/>
          <w:u w:val="single"/>
        </w:rPr>
        <w:t>　　　　　　　　　　</w:t>
      </w:r>
      <w:r>
        <w:rPr>
          <w:rFonts w:hint="eastAsia" w:ascii="宋体" w:hAnsi="宋体"/>
          <w:szCs w:val="21"/>
        </w:rPr>
        <w:t>”项目（采购编号：</w:t>
      </w:r>
      <w:r>
        <w:rPr>
          <w:rFonts w:hint="eastAsia" w:ascii="宋体" w:hAnsi="宋体"/>
          <w:szCs w:val="21"/>
          <w:u w:val="single"/>
        </w:rPr>
        <w:t>　　</w:t>
      </w:r>
      <w:r>
        <w:rPr>
          <w:rFonts w:ascii="宋体" w:hAnsi="宋体"/>
          <w:szCs w:val="21"/>
          <w:u w:val="single"/>
        </w:rPr>
        <w:t>　　　　　</w:t>
      </w:r>
      <w:r>
        <w:rPr>
          <w:rFonts w:hint="eastAsia" w:ascii="宋体" w:hAnsi="宋体"/>
          <w:szCs w:val="21"/>
        </w:rPr>
        <w:t>）磋商活动的合法代表，以我方名义全权处理该项目有关磋商、签订合同以及执行合同等一切事宜。</w:t>
      </w:r>
    </w:p>
    <w:p>
      <w:pPr>
        <w:spacing w:line="360" w:lineRule="auto"/>
        <w:ind w:firstLine="420" w:firstLineChars="200"/>
        <w:rPr>
          <w:rFonts w:ascii="宋体" w:hAnsi="宋体"/>
          <w:szCs w:val="21"/>
        </w:rPr>
      </w:pPr>
      <w:r>
        <w:rPr>
          <w:rFonts w:hint="eastAsia" w:ascii="宋体" w:hAnsi="宋体"/>
          <w:szCs w:val="21"/>
        </w:rPr>
        <w:t>特此声明。</w:t>
      </w:r>
    </w:p>
    <w:p>
      <w:pPr>
        <w:spacing w:line="360" w:lineRule="auto"/>
        <w:ind w:firstLine="420" w:firstLineChars="200"/>
        <w:rPr>
          <w:rFonts w:ascii="宋体" w:hAnsi="宋体"/>
          <w:szCs w:val="21"/>
        </w:rPr>
      </w:pPr>
      <w:r>
        <w:rPr>
          <w:rFonts w:hint="eastAsia" w:ascii="宋体" w:hAnsi="宋体"/>
          <w:szCs w:val="21"/>
        </w:rPr>
        <w:t>附：被授权人身份证复印件</w:t>
      </w:r>
    </w:p>
    <w:p>
      <w:pPr>
        <w:spacing w:line="360" w:lineRule="auto"/>
        <w:rPr>
          <w:rFonts w:ascii="宋体" w:hAnsi="宋体"/>
          <w:szCs w:val="21"/>
        </w:rPr>
      </w:pPr>
    </w:p>
    <w:p>
      <w:pPr>
        <w:spacing w:line="360" w:lineRule="auto"/>
        <w:rPr>
          <w:rFonts w:ascii="宋体" w:hAnsi="宋体"/>
          <w:szCs w:val="21"/>
        </w:rPr>
      </w:pPr>
    </w:p>
    <w:p>
      <w:pPr>
        <w:spacing w:line="360" w:lineRule="auto"/>
        <w:jc w:val="left"/>
        <w:rPr>
          <w:rFonts w:ascii="宋体" w:hAnsi="宋体"/>
          <w:szCs w:val="21"/>
        </w:rPr>
      </w:pPr>
      <w:r>
        <w:rPr>
          <w:rFonts w:hint="eastAsia" w:ascii="宋体" w:hAnsi="宋体"/>
          <w:szCs w:val="21"/>
        </w:rPr>
        <w:t>供应商全称（盖单位公章）：</w:t>
      </w:r>
      <w:r>
        <w:rPr>
          <w:rFonts w:hint="eastAsia" w:ascii="宋体" w:hAnsi="宋体"/>
          <w:szCs w:val="21"/>
          <w:u w:val="single"/>
        </w:rPr>
        <w:t xml:space="preserve">                               </w:t>
      </w:r>
    </w:p>
    <w:p>
      <w:pPr>
        <w:spacing w:line="360" w:lineRule="auto"/>
        <w:jc w:val="left"/>
        <w:rPr>
          <w:rFonts w:ascii="宋体" w:hAnsi="宋体"/>
          <w:szCs w:val="21"/>
        </w:rPr>
      </w:pPr>
      <w:r>
        <w:rPr>
          <w:rFonts w:hint="eastAsia" w:ascii="宋体" w:hAnsi="宋体"/>
          <w:szCs w:val="21"/>
        </w:rPr>
        <w:t>法定代表人（负责人</w:t>
      </w:r>
      <w:r>
        <w:rPr>
          <w:rFonts w:ascii="宋体" w:hAnsi="宋体"/>
          <w:szCs w:val="21"/>
        </w:rPr>
        <w:t>）</w:t>
      </w:r>
      <w:r>
        <w:rPr>
          <w:rFonts w:hint="eastAsia" w:ascii="宋体" w:hAnsi="宋体"/>
          <w:szCs w:val="21"/>
        </w:rPr>
        <w:t>（签字）</w:t>
      </w:r>
      <w:r>
        <w:rPr>
          <w:rFonts w:hint="eastAsia" w:ascii="宋体" w:hAnsi="宋体"/>
          <w:szCs w:val="21"/>
          <w:u w:val="single"/>
        </w:rPr>
        <w:t xml:space="preserve">:                            </w:t>
      </w:r>
      <w:r>
        <w:rPr>
          <w:rFonts w:ascii="宋体" w:hAnsi="宋体"/>
          <w:szCs w:val="21"/>
        </w:rPr>
        <w:t>　　　　　　　　　　　　　　　</w:t>
      </w:r>
    </w:p>
    <w:p>
      <w:pPr>
        <w:spacing w:line="360" w:lineRule="auto"/>
        <w:jc w:val="left"/>
        <w:rPr>
          <w:rFonts w:ascii="宋体" w:hAnsi="宋体"/>
          <w:szCs w:val="21"/>
          <w:u w:val="single"/>
        </w:rPr>
      </w:pPr>
      <w:r>
        <w:rPr>
          <w:rFonts w:hint="eastAsia" w:ascii="宋体" w:hAnsi="宋体"/>
          <w:szCs w:val="21"/>
        </w:rPr>
        <w:t>授权代表（签字）：</w:t>
      </w:r>
      <w:r>
        <w:rPr>
          <w:rFonts w:hint="eastAsia" w:ascii="宋体" w:hAnsi="宋体"/>
          <w:szCs w:val="21"/>
          <w:u w:val="single"/>
        </w:rPr>
        <w:t xml:space="preserve">                                       </w:t>
      </w:r>
    </w:p>
    <w:p>
      <w:pPr>
        <w:spacing w:line="360" w:lineRule="auto"/>
        <w:jc w:val="left"/>
        <w:rPr>
          <w:rFonts w:ascii="宋体" w:hAnsi="宋体"/>
          <w:szCs w:val="21"/>
        </w:rPr>
      </w:pPr>
      <w:r>
        <w:rPr>
          <w:rFonts w:hint="eastAsia" w:ascii="宋体" w:hAnsi="宋体"/>
          <w:szCs w:val="21"/>
        </w:rPr>
        <w:t>日期：</w:t>
      </w:r>
      <w:r>
        <w:rPr>
          <w:rFonts w:hint="eastAsia" w:ascii="宋体" w:hAnsi="宋体"/>
          <w:szCs w:val="21"/>
          <w:u w:val="single"/>
        </w:rPr>
        <w:t>　　</w:t>
      </w:r>
      <w:r>
        <w:rPr>
          <w:rFonts w:ascii="宋体" w:hAnsi="宋体"/>
          <w:szCs w:val="21"/>
          <w:u w:val="single"/>
        </w:rPr>
        <w:t>　　</w:t>
      </w:r>
      <w:r>
        <w:rPr>
          <w:rFonts w:hint="eastAsia" w:ascii="宋体" w:hAnsi="宋体"/>
          <w:szCs w:val="21"/>
          <w:u w:val="single"/>
        </w:rPr>
        <w:t>年　　</w:t>
      </w:r>
      <w:r>
        <w:rPr>
          <w:rFonts w:ascii="宋体" w:hAnsi="宋体"/>
          <w:szCs w:val="21"/>
          <w:u w:val="single"/>
        </w:rPr>
        <w:t>　　</w:t>
      </w:r>
      <w:r>
        <w:rPr>
          <w:rFonts w:hint="eastAsia" w:ascii="宋体" w:hAnsi="宋体"/>
          <w:szCs w:val="21"/>
          <w:u w:val="single"/>
        </w:rPr>
        <w:t>月　　</w:t>
      </w:r>
      <w:r>
        <w:rPr>
          <w:rFonts w:ascii="宋体" w:hAnsi="宋体"/>
          <w:szCs w:val="21"/>
          <w:u w:val="single"/>
        </w:rPr>
        <w:t>　　</w:t>
      </w:r>
      <w:r>
        <w:rPr>
          <w:rFonts w:hint="eastAsia" w:ascii="宋体" w:hAnsi="宋体"/>
          <w:szCs w:val="21"/>
          <w:u w:val="single"/>
        </w:rPr>
        <w:t>日</w:t>
      </w:r>
      <w:r>
        <w:rPr>
          <w:rFonts w:hint="eastAsia" w:ascii="宋体" w:hAnsi="宋体"/>
          <w:szCs w:val="21"/>
        </w:rPr>
        <w:t>。</w:t>
      </w:r>
    </w:p>
    <w:p>
      <w:pPr>
        <w:spacing w:line="360" w:lineRule="auto"/>
        <w:jc w:val="left"/>
        <w:rPr>
          <w:rFonts w:ascii="宋体" w:hAnsi="宋体"/>
          <w:b/>
          <w:sz w:val="24"/>
        </w:rPr>
      </w:pPr>
    </w:p>
    <w:p>
      <w:pPr>
        <w:spacing w:line="360" w:lineRule="auto"/>
        <w:jc w:val="left"/>
        <w:rPr>
          <w:rFonts w:ascii="宋体" w:hAnsi="宋体"/>
          <w:b/>
          <w:sz w:val="24"/>
        </w:rPr>
      </w:pPr>
    </w:p>
    <w:p>
      <w:pPr>
        <w:spacing w:line="360" w:lineRule="auto"/>
        <w:jc w:val="left"/>
        <w:rPr>
          <w:rFonts w:ascii="宋体" w:hAnsi="宋体"/>
          <w:b/>
          <w:sz w:val="24"/>
        </w:rPr>
      </w:pPr>
    </w:p>
    <w:p>
      <w:pPr>
        <w:spacing w:line="360" w:lineRule="auto"/>
        <w:jc w:val="left"/>
        <w:rPr>
          <w:rFonts w:ascii="宋体" w:hAnsi="宋体"/>
          <w:b/>
          <w:sz w:val="24"/>
        </w:rPr>
      </w:pPr>
    </w:p>
    <w:p>
      <w:pPr>
        <w:spacing w:line="360" w:lineRule="auto"/>
        <w:jc w:val="left"/>
        <w:rPr>
          <w:rFonts w:ascii="宋体" w:hAnsi="宋体"/>
          <w:b/>
          <w:sz w:val="24"/>
        </w:rPr>
      </w:pPr>
    </w:p>
    <w:p>
      <w:pPr>
        <w:spacing w:line="360" w:lineRule="auto"/>
        <w:jc w:val="left"/>
        <w:rPr>
          <w:rFonts w:ascii="宋体" w:hAnsi="宋体"/>
          <w:b/>
          <w:sz w:val="24"/>
        </w:rPr>
      </w:pPr>
    </w:p>
    <w:p>
      <w:pPr>
        <w:spacing w:line="360" w:lineRule="auto"/>
        <w:jc w:val="left"/>
        <w:rPr>
          <w:rFonts w:ascii="宋体" w:hAnsi="宋体"/>
          <w:b/>
          <w:sz w:val="24"/>
        </w:rPr>
      </w:pPr>
    </w:p>
    <w:p>
      <w:pPr>
        <w:spacing w:line="360" w:lineRule="auto"/>
        <w:jc w:val="left"/>
        <w:rPr>
          <w:rFonts w:ascii="宋体" w:hAnsi="宋体"/>
          <w:b/>
          <w:sz w:val="24"/>
        </w:rPr>
      </w:pPr>
    </w:p>
    <w:p>
      <w:pPr>
        <w:spacing w:line="360" w:lineRule="auto"/>
        <w:jc w:val="left"/>
        <w:rPr>
          <w:rFonts w:ascii="宋体" w:hAnsi="宋体"/>
          <w:b/>
          <w:sz w:val="24"/>
        </w:rPr>
      </w:pPr>
    </w:p>
    <w:p>
      <w:pPr>
        <w:spacing w:line="360" w:lineRule="auto"/>
        <w:jc w:val="left"/>
        <w:rPr>
          <w:rFonts w:ascii="宋体" w:hAnsi="宋体"/>
          <w:b/>
          <w:sz w:val="24"/>
        </w:rPr>
      </w:pPr>
    </w:p>
    <w:p>
      <w:pPr>
        <w:spacing w:line="360" w:lineRule="auto"/>
        <w:jc w:val="left"/>
        <w:rPr>
          <w:rFonts w:ascii="宋体" w:hAnsi="宋体"/>
          <w:b/>
          <w:sz w:val="24"/>
        </w:rPr>
      </w:pPr>
    </w:p>
    <w:bookmarkEnd w:id="155"/>
    <w:p>
      <w:pPr>
        <w:spacing w:line="500" w:lineRule="exact"/>
        <w:jc w:val="left"/>
        <w:rPr>
          <w:rFonts w:ascii="宋体" w:hAnsi="宋体"/>
          <w:szCs w:val="21"/>
        </w:rPr>
      </w:pPr>
      <w:r>
        <w:rPr>
          <w:rFonts w:hint="eastAsia" w:ascii="宋体" w:hAnsi="宋体"/>
          <w:szCs w:val="21"/>
        </w:rPr>
        <w:t>注：如法定代表人或负责人参加本项目，可不提供此授权书。</w:t>
      </w:r>
    </w:p>
    <w:p>
      <w:pPr>
        <w:pStyle w:val="26"/>
        <w:adjustRightInd w:val="0"/>
        <w:snapToGrid w:val="0"/>
        <w:spacing w:line="360" w:lineRule="auto"/>
        <w:rPr>
          <w:rFonts w:hAnsi="宋体"/>
          <w:b/>
          <w:sz w:val="30"/>
          <w:szCs w:val="30"/>
        </w:rPr>
      </w:pPr>
      <w:r>
        <w:rPr>
          <w:rFonts w:hAnsi="宋体"/>
          <w:b/>
          <w:sz w:val="30"/>
          <w:szCs w:val="30"/>
        </w:rPr>
        <w:br w:type="page"/>
      </w:r>
    </w:p>
    <w:p>
      <w:pPr>
        <w:pStyle w:val="5"/>
        <w:spacing w:line="360" w:lineRule="auto"/>
        <w:rPr>
          <w:rFonts w:ascii="宋体" w:hAnsi="宋体" w:cs="宋体"/>
          <w:sz w:val="28"/>
          <w:szCs w:val="28"/>
        </w:rPr>
      </w:pPr>
      <w:bookmarkStart w:id="158" w:name="_Toc518487363"/>
      <w:bookmarkStart w:id="159" w:name="_Toc112257060"/>
      <w:r>
        <w:rPr>
          <w:rFonts w:hint="eastAsia" w:ascii="宋体" w:hAnsi="宋体" w:cs="宋体"/>
          <w:sz w:val="28"/>
          <w:szCs w:val="28"/>
        </w:rPr>
        <w:t>六、</w:t>
      </w:r>
      <w:bookmarkEnd w:id="158"/>
      <w:bookmarkStart w:id="160" w:name="_Toc37336613"/>
      <w:r>
        <w:rPr>
          <w:rFonts w:hint="eastAsia" w:ascii="宋体" w:hAnsi="宋体" w:cs="宋体"/>
          <w:sz w:val="28"/>
          <w:szCs w:val="28"/>
        </w:rPr>
        <w:t>磋商文件要求提供的其他文件或资料</w:t>
      </w:r>
      <w:bookmarkEnd w:id="159"/>
      <w:bookmarkEnd w:id="160"/>
    </w:p>
    <w:p>
      <w:pPr>
        <w:spacing w:line="360" w:lineRule="auto"/>
        <w:jc w:val="left"/>
        <w:rPr>
          <w:rFonts w:ascii="宋体" w:hAnsi="宋体"/>
          <w:b/>
          <w:color w:val="FF0000"/>
          <w:szCs w:val="21"/>
          <w:u w:val="single"/>
        </w:rPr>
      </w:pPr>
      <w:r>
        <w:rPr>
          <w:rFonts w:hint="eastAsia" w:ascii="宋体" w:hAnsi="宋体"/>
          <w:b/>
          <w:color w:val="FF0000"/>
          <w:szCs w:val="21"/>
          <w:u w:val="single"/>
        </w:rPr>
        <w:t>包括但不限于下述证明或承诺材料：</w:t>
      </w:r>
    </w:p>
    <w:p>
      <w:pPr>
        <w:spacing w:line="360" w:lineRule="auto"/>
        <w:jc w:val="left"/>
        <w:rPr>
          <w:rFonts w:ascii="宋体" w:hAnsi="宋体"/>
          <w:b/>
          <w:color w:val="FF0000"/>
          <w:szCs w:val="21"/>
          <w:u w:val="single"/>
        </w:rPr>
      </w:pPr>
      <w:r>
        <w:rPr>
          <w:rFonts w:hint="eastAsia" w:ascii="宋体" w:hAnsi="宋体"/>
          <w:b/>
          <w:color w:val="FF0000"/>
          <w:szCs w:val="21"/>
          <w:u w:val="single"/>
        </w:rPr>
        <w:t>具有良好的商业信誉(含供应商诚信情况）；</w:t>
      </w:r>
    </w:p>
    <w:p>
      <w:pPr>
        <w:spacing w:line="360" w:lineRule="auto"/>
        <w:jc w:val="left"/>
        <w:rPr>
          <w:rFonts w:ascii="宋体" w:hAnsi="宋体"/>
          <w:b/>
          <w:color w:val="FF0000"/>
          <w:szCs w:val="21"/>
          <w:u w:val="single"/>
        </w:rPr>
      </w:pPr>
      <w:r>
        <w:rPr>
          <w:rFonts w:hint="eastAsia" w:ascii="宋体" w:hAnsi="宋体"/>
          <w:b/>
          <w:color w:val="FF0000"/>
          <w:szCs w:val="21"/>
          <w:u w:val="single"/>
        </w:rPr>
        <w:t>具有履行合同所必须的设备和专业技术能力；</w:t>
      </w:r>
    </w:p>
    <w:p>
      <w:pPr>
        <w:spacing w:line="360" w:lineRule="auto"/>
        <w:jc w:val="left"/>
        <w:rPr>
          <w:rFonts w:ascii="宋体" w:hAnsi="宋体"/>
          <w:b/>
          <w:color w:val="FF0000"/>
          <w:szCs w:val="21"/>
          <w:u w:val="single"/>
        </w:rPr>
      </w:pPr>
      <w:r>
        <w:rPr>
          <w:rFonts w:hint="eastAsia" w:ascii="宋体" w:hAnsi="宋体"/>
          <w:b/>
          <w:color w:val="FF0000"/>
          <w:szCs w:val="21"/>
          <w:u w:val="single"/>
        </w:rPr>
        <w:t>具有依法缴纳税收的良好记录；</w:t>
      </w:r>
    </w:p>
    <w:p>
      <w:pPr>
        <w:spacing w:line="360" w:lineRule="auto"/>
        <w:jc w:val="left"/>
        <w:rPr>
          <w:rFonts w:ascii="宋体" w:hAnsi="宋体"/>
          <w:b/>
          <w:color w:val="FF0000"/>
          <w:szCs w:val="21"/>
          <w:u w:val="single"/>
        </w:rPr>
      </w:pPr>
      <w:r>
        <w:rPr>
          <w:rFonts w:hint="eastAsia" w:ascii="宋体" w:hAnsi="宋体"/>
          <w:b/>
          <w:color w:val="FF0000"/>
          <w:szCs w:val="21"/>
          <w:u w:val="single"/>
        </w:rPr>
        <w:t>具有依法缴纳社会保障资金的良好记录；</w:t>
      </w:r>
    </w:p>
    <w:p>
      <w:pPr>
        <w:spacing w:line="360" w:lineRule="auto"/>
        <w:jc w:val="left"/>
        <w:rPr>
          <w:rFonts w:ascii="宋体" w:hAnsi="宋体"/>
          <w:b/>
          <w:color w:val="FF0000"/>
          <w:szCs w:val="21"/>
          <w:u w:val="single"/>
        </w:rPr>
      </w:pPr>
      <w:r>
        <w:rPr>
          <w:rFonts w:hint="eastAsia" w:ascii="宋体" w:hAnsi="宋体"/>
          <w:b/>
          <w:color w:val="FF0000"/>
          <w:szCs w:val="21"/>
          <w:u w:val="single"/>
        </w:rPr>
        <w:t>参加本次采购活动前三年内，在经营活动中没有重大违法记录。</w:t>
      </w:r>
    </w:p>
    <w:p>
      <w:pPr>
        <w:spacing w:line="360" w:lineRule="auto"/>
        <w:jc w:val="left"/>
        <w:rPr>
          <w:rFonts w:ascii="宋体" w:hAnsi="宋体"/>
          <w:b/>
          <w:color w:val="FF0000"/>
          <w:szCs w:val="21"/>
          <w:u w:val="single"/>
        </w:rPr>
      </w:pPr>
      <w:r>
        <w:rPr>
          <w:rFonts w:hint="eastAsia" w:ascii="宋体" w:hAnsi="宋体"/>
          <w:b/>
          <w:color w:val="FF0000"/>
          <w:szCs w:val="21"/>
          <w:u w:val="single"/>
        </w:rPr>
        <w:t>以上材料请按本文件“第四章 供应商的资格、资质性及其他类似效力要求”表中“相关证明材料”要求提供相关证明材料，有内容格式的请按格式提供，未提供内容格式的自拟。</w:t>
      </w:r>
    </w:p>
    <w:p>
      <w:pPr>
        <w:spacing w:line="360" w:lineRule="auto"/>
        <w:jc w:val="left"/>
        <w:rPr>
          <w:rFonts w:ascii="宋体" w:hAnsi="宋体"/>
          <w:b/>
          <w:color w:val="FF0000"/>
          <w:szCs w:val="21"/>
          <w:u w:val="single"/>
        </w:rPr>
      </w:pPr>
    </w:p>
    <w:p>
      <w:pPr>
        <w:pStyle w:val="5"/>
        <w:spacing w:line="360" w:lineRule="auto"/>
        <w:rPr>
          <w:rFonts w:ascii="宋体" w:hAnsi="宋体" w:cs="宋体"/>
          <w:sz w:val="28"/>
          <w:szCs w:val="28"/>
        </w:rPr>
      </w:pPr>
      <w:bookmarkStart w:id="161" w:name="_Toc37336614"/>
      <w:bookmarkStart w:id="162" w:name="_Toc112257061"/>
      <w:r>
        <w:rPr>
          <w:rFonts w:hint="eastAsia" w:ascii="宋体" w:hAnsi="宋体" w:cs="宋体"/>
          <w:sz w:val="28"/>
          <w:szCs w:val="28"/>
        </w:rPr>
        <w:t>八、供应商认为需要提供的其他文件或资料</w:t>
      </w:r>
      <w:bookmarkEnd w:id="161"/>
      <w:bookmarkEnd w:id="162"/>
    </w:p>
    <w:p>
      <w:pPr>
        <w:pStyle w:val="14"/>
        <w:spacing w:line="360" w:lineRule="auto"/>
        <w:ind w:firstLine="0" w:firstLineChars="0"/>
        <w:rPr>
          <w:rFonts w:ascii="宋体" w:hAnsi="宋体"/>
          <w:color w:val="000000"/>
          <w:sz w:val="28"/>
          <w:szCs w:val="28"/>
        </w:rPr>
      </w:pPr>
    </w:p>
    <w:p>
      <w:pPr>
        <w:pStyle w:val="14"/>
        <w:spacing w:line="360" w:lineRule="auto"/>
        <w:ind w:firstLine="0" w:firstLineChars="0"/>
        <w:rPr>
          <w:rFonts w:ascii="宋体" w:hAnsi="宋体"/>
          <w:color w:val="000000"/>
          <w:sz w:val="28"/>
          <w:szCs w:val="28"/>
        </w:rPr>
      </w:pPr>
    </w:p>
    <w:p>
      <w:pPr>
        <w:pStyle w:val="14"/>
        <w:spacing w:line="360" w:lineRule="auto"/>
        <w:ind w:firstLine="0" w:firstLineChars="0"/>
        <w:rPr>
          <w:rFonts w:ascii="宋体" w:hAnsi="宋体"/>
          <w:color w:val="000000"/>
          <w:sz w:val="28"/>
          <w:szCs w:val="28"/>
        </w:rPr>
      </w:pPr>
    </w:p>
    <w:p>
      <w:pPr>
        <w:pStyle w:val="14"/>
        <w:spacing w:line="360" w:lineRule="auto"/>
        <w:ind w:firstLine="0" w:firstLineChars="0"/>
        <w:rPr>
          <w:rFonts w:ascii="宋体" w:hAnsi="宋体"/>
          <w:color w:val="000000"/>
          <w:sz w:val="28"/>
          <w:szCs w:val="28"/>
        </w:rPr>
      </w:pPr>
    </w:p>
    <w:p>
      <w:pPr>
        <w:pStyle w:val="14"/>
        <w:spacing w:line="360" w:lineRule="auto"/>
        <w:ind w:firstLine="0" w:firstLineChars="0"/>
        <w:rPr>
          <w:rFonts w:ascii="宋体" w:hAnsi="宋体"/>
          <w:color w:val="000000"/>
          <w:sz w:val="28"/>
          <w:szCs w:val="28"/>
        </w:rPr>
      </w:pPr>
    </w:p>
    <w:p>
      <w:pPr>
        <w:pStyle w:val="14"/>
        <w:spacing w:line="360" w:lineRule="auto"/>
        <w:ind w:firstLine="0" w:firstLineChars="0"/>
        <w:rPr>
          <w:rFonts w:ascii="宋体" w:hAnsi="宋体"/>
          <w:color w:val="000000"/>
          <w:sz w:val="28"/>
          <w:szCs w:val="28"/>
        </w:rPr>
      </w:pPr>
    </w:p>
    <w:p>
      <w:pPr>
        <w:pStyle w:val="14"/>
        <w:spacing w:line="360" w:lineRule="auto"/>
        <w:ind w:firstLine="0" w:firstLineChars="0"/>
        <w:rPr>
          <w:rFonts w:ascii="宋体" w:hAnsi="宋体"/>
          <w:color w:val="000000"/>
          <w:sz w:val="28"/>
          <w:szCs w:val="28"/>
        </w:rPr>
      </w:pPr>
    </w:p>
    <w:p>
      <w:pPr>
        <w:pStyle w:val="14"/>
        <w:spacing w:line="360" w:lineRule="auto"/>
        <w:ind w:firstLine="0" w:firstLineChars="0"/>
        <w:rPr>
          <w:rFonts w:ascii="宋体" w:hAnsi="宋体"/>
          <w:color w:val="000000"/>
          <w:sz w:val="28"/>
          <w:szCs w:val="28"/>
        </w:rPr>
      </w:pPr>
    </w:p>
    <w:p>
      <w:pPr>
        <w:pStyle w:val="14"/>
        <w:spacing w:line="360" w:lineRule="auto"/>
        <w:ind w:firstLine="0" w:firstLineChars="0"/>
        <w:rPr>
          <w:rFonts w:ascii="宋体" w:hAnsi="宋体"/>
          <w:color w:val="000000"/>
          <w:sz w:val="28"/>
          <w:szCs w:val="28"/>
        </w:rPr>
      </w:pPr>
    </w:p>
    <w:p>
      <w:pPr>
        <w:spacing w:line="780" w:lineRule="exact"/>
        <w:jc w:val="right"/>
        <w:rPr>
          <w:rFonts w:ascii="宋体" w:hAnsi="宋体"/>
          <w:b/>
          <w:sz w:val="32"/>
          <w:szCs w:val="52"/>
        </w:rPr>
      </w:pPr>
      <w:r>
        <w:rPr>
          <w:rFonts w:ascii="宋体" w:hAnsi="宋体"/>
          <w:color w:val="000000"/>
          <w:sz w:val="28"/>
          <w:szCs w:val="28"/>
        </w:rPr>
        <w:br w:type="page"/>
      </w:r>
      <w:r>
        <w:rPr>
          <w:rFonts w:hint="eastAsia" w:ascii="宋体" w:hAnsi="宋体"/>
          <w:sz w:val="24"/>
        </w:rPr>
        <w:t>封面格式</w:t>
      </w:r>
      <w:r>
        <w:rPr>
          <w:rFonts w:hint="eastAsia" w:ascii="宋体" w:hAnsi="宋体"/>
          <w:b/>
          <w:sz w:val="32"/>
          <w:szCs w:val="52"/>
        </w:rPr>
        <w:t>〔正本/副本〕</w:t>
      </w:r>
    </w:p>
    <w:p>
      <w:pPr>
        <w:spacing w:line="360" w:lineRule="auto"/>
        <w:rPr>
          <w:rFonts w:ascii="宋体" w:hAnsi="宋体"/>
          <w:sz w:val="24"/>
        </w:rPr>
      </w:pPr>
    </w:p>
    <w:p>
      <w:pPr>
        <w:spacing w:line="360" w:lineRule="auto"/>
        <w:jc w:val="center"/>
        <w:rPr>
          <w:rFonts w:ascii="宋体" w:hAnsi="宋体"/>
          <w:b/>
          <w:sz w:val="52"/>
          <w:szCs w:val="52"/>
        </w:rPr>
      </w:pPr>
    </w:p>
    <w:p>
      <w:pPr>
        <w:spacing w:line="360" w:lineRule="auto"/>
        <w:jc w:val="center"/>
        <w:rPr>
          <w:rFonts w:ascii="宋体" w:hAnsi="宋体"/>
          <w:b/>
          <w:sz w:val="52"/>
          <w:szCs w:val="52"/>
        </w:rPr>
      </w:pPr>
      <w:r>
        <w:rPr>
          <w:rFonts w:hint="eastAsia" w:ascii="宋体" w:hAnsi="宋体"/>
          <w:b/>
          <w:sz w:val="52"/>
          <w:szCs w:val="52"/>
        </w:rPr>
        <w:t>***采购项目</w:t>
      </w:r>
    </w:p>
    <w:p>
      <w:pPr>
        <w:spacing w:line="360" w:lineRule="auto"/>
        <w:ind w:firstLine="1560" w:firstLineChars="300"/>
        <w:jc w:val="right"/>
        <w:rPr>
          <w:rFonts w:ascii="宋体" w:hAnsi="宋体"/>
          <w:sz w:val="52"/>
          <w:szCs w:val="52"/>
        </w:rPr>
      </w:pPr>
    </w:p>
    <w:p>
      <w:pPr>
        <w:spacing w:line="360" w:lineRule="auto"/>
        <w:ind w:firstLine="1560" w:firstLineChars="300"/>
        <w:rPr>
          <w:rFonts w:ascii="宋体" w:hAnsi="宋体"/>
          <w:sz w:val="52"/>
          <w:szCs w:val="52"/>
        </w:rPr>
      </w:pPr>
    </w:p>
    <w:p>
      <w:pPr>
        <w:pStyle w:val="5"/>
        <w:rPr>
          <w:rFonts w:ascii="宋体" w:hAnsi="宋体"/>
        </w:rPr>
      </w:pPr>
      <w:bookmarkStart w:id="163" w:name="_Toc112257062"/>
      <w:r>
        <w:rPr>
          <w:rFonts w:hint="eastAsia" w:ascii="宋体" w:hAnsi="宋体"/>
        </w:rPr>
        <w:t>技术服务部分</w:t>
      </w:r>
      <w:bookmarkEnd w:id="163"/>
    </w:p>
    <w:p>
      <w:pPr>
        <w:spacing w:line="360" w:lineRule="auto"/>
        <w:jc w:val="center"/>
        <w:rPr>
          <w:rFonts w:ascii="宋体" w:hAnsi="宋体"/>
          <w:b/>
          <w:sz w:val="52"/>
          <w:szCs w:val="52"/>
        </w:rPr>
      </w:pPr>
    </w:p>
    <w:p>
      <w:pPr>
        <w:rPr>
          <w:rFonts w:ascii="宋体" w:hAnsi="宋体"/>
        </w:rPr>
      </w:pPr>
    </w:p>
    <w:p>
      <w:pPr>
        <w:spacing w:line="360" w:lineRule="auto"/>
        <w:jc w:val="center"/>
        <w:rPr>
          <w:rFonts w:ascii="宋体" w:hAnsi="宋体"/>
          <w:b/>
          <w:sz w:val="52"/>
          <w:szCs w:val="52"/>
        </w:rPr>
      </w:pP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项目</w:t>
      </w:r>
      <w:r>
        <w:rPr>
          <w:rFonts w:ascii="宋体" w:hAnsi="宋体"/>
          <w:sz w:val="24"/>
        </w:rPr>
        <w:t>名称：</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采购人</w:t>
      </w:r>
      <w:r>
        <w:rPr>
          <w:rFonts w:ascii="宋体" w:hAnsi="宋体"/>
          <w:sz w:val="24"/>
        </w:rPr>
        <w:t>：</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供应商全称（盖单位公章</w:t>
      </w:r>
      <w:r>
        <w:rPr>
          <w:rFonts w:ascii="宋体" w:hAnsi="宋体"/>
          <w:sz w:val="24"/>
        </w:rPr>
        <w:t>）：</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日期</w:t>
      </w:r>
      <w:r>
        <w:rPr>
          <w:rFonts w:ascii="宋体" w:hAnsi="宋体"/>
          <w:sz w:val="24"/>
        </w:rPr>
        <w:t>：</w:t>
      </w:r>
      <w:r>
        <w:rPr>
          <w:rFonts w:hint="eastAsia" w:ascii="宋体" w:hAnsi="宋体"/>
          <w:sz w:val="24"/>
          <w:u w:val="single"/>
        </w:rPr>
        <w:t xml:space="preserve">                 年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月    </w:t>
      </w:r>
      <w:r>
        <w:rPr>
          <w:rFonts w:ascii="宋体" w:hAnsi="宋体"/>
          <w:sz w:val="24"/>
          <w:u w:val="single"/>
        </w:rPr>
        <w:t xml:space="preserve">  </w:t>
      </w:r>
      <w:r>
        <w:rPr>
          <w:rFonts w:hint="eastAsia" w:ascii="宋体" w:hAnsi="宋体"/>
          <w:sz w:val="24"/>
          <w:u w:val="single"/>
        </w:rPr>
        <w:t>日</w:t>
      </w:r>
    </w:p>
    <w:p>
      <w:pPr>
        <w:rPr>
          <w:rFonts w:ascii="宋体" w:hAnsi="宋体"/>
        </w:rPr>
      </w:pPr>
    </w:p>
    <w:p>
      <w:pPr>
        <w:pStyle w:val="3"/>
        <w:rPr>
          <w:rFonts w:ascii="宋体" w:hAnsi="宋体"/>
        </w:rPr>
      </w:pPr>
    </w:p>
    <w:p>
      <w:pPr>
        <w:pStyle w:val="14"/>
        <w:spacing w:line="360" w:lineRule="auto"/>
        <w:ind w:firstLine="0" w:firstLineChars="0"/>
        <w:rPr>
          <w:rFonts w:ascii="宋体" w:hAnsi="宋体"/>
          <w:color w:val="000000"/>
          <w:sz w:val="28"/>
          <w:szCs w:val="28"/>
        </w:rPr>
      </w:pPr>
    </w:p>
    <w:p>
      <w:pPr>
        <w:pStyle w:val="14"/>
        <w:spacing w:line="360" w:lineRule="auto"/>
        <w:ind w:firstLine="0" w:firstLineChars="0"/>
        <w:rPr>
          <w:rFonts w:ascii="宋体" w:hAnsi="宋体"/>
          <w:sz w:val="24"/>
        </w:rPr>
      </w:pPr>
      <w:r>
        <w:rPr>
          <w:rFonts w:ascii="宋体" w:hAnsi="宋体"/>
          <w:color w:val="000000"/>
          <w:sz w:val="28"/>
          <w:szCs w:val="28"/>
        </w:rPr>
        <w:br w:type="page"/>
      </w:r>
    </w:p>
    <w:p>
      <w:pPr>
        <w:pStyle w:val="5"/>
        <w:spacing w:line="360" w:lineRule="auto"/>
        <w:rPr>
          <w:rFonts w:ascii="宋体" w:hAnsi="宋体" w:cs="宋体"/>
          <w:sz w:val="28"/>
          <w:szCs w:val="28"/>
        </w:rPr>
      </w:pPr>
      <w:bookmarkStart w:id="164" w:name="_Toc510540052"/>
      <w:bookmarkStart w:id="165" w:name="_Toc112257063"/>
      <w:bookmarkStart w:id="166" w:name="_Toc26802759"/>
      <w:bookmarkStart w:id="167" w:name="_Toc472608108"/>
      <w:bookmarkStart w:id="168" w:name="_Toc510170609"/>
      <w:bookmarkStart w:id="169" w:name="_Toc514658989"/>
      <w:bookmarkStart w:id="170" w:name="_Toc518487367"/>
      <w:r>
        <w:rPr>
          <w:rFonts w:hint="eastAsia" w:ascii="宋体" w:hAnsi="宋体" w:cs="宋体"/>
          <w:sz w:val="28"/>
          <w:szCs w:val="28"/>
        </w:rPr>
        <w:t>一、</w:t>
      </w:r>
      <w:bookmarkEnd w:id="164"/>
      <w:r>
        <w:rPr>
          <w:rFonts w:hint="eastAsia" w:ascii="宋体" w:hAnsi="宋体" w:cs="宋体"/>
          <w:sz w:val="28"/>
          <w:szCs w:val="28"/>
        </w:rPr>
        <w:t>磋商函（格式须符合）</w:t>
      </w:r>
      <w:bookmarkEnd w:id="165"/>
    </w:p>
    <w:p>
      <w:pPr>
        <w:spacing w:line="360" w:lineRule="auto"/>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四川省科源工程技术测试中心：</w:t>
      </w:r>
    </w:p>
    <w:p>
      <w:pPr>
        <w:spacing w:line="360" w:lineRule="auto"/>
        <w:rPr>
          <w:rFonts w:ascii="宋体" w:hAnsi="宋体"/>
          <w:color w:val="000000"/>
          <w:szCs w:val="21"/>
        </w:rPr>
      </w:pPr>
      <w:r>
        <w:rPr>
          <w:rFonts w:hint="eastAsia" w:ascii="宋体" w:hAnsi="宋体"/>
          <w:color w:val="000000"/>
          <w:szCs w:val="21"/>
        </w:rPr>
        <w:t xml:space="preserve">    一、根据你方项目</w:t>
      </w:r>
      <w:r>
        <w:rPr>
          <w:rFonts w:hint="eastAsia" w:ascii="宋体" w:hAnsi="宋体"/>
          <w:color w:val="000000"/>
          <w:szCs w:val="21"/>
          <w:u w:val="single"/>
        </w:rPr>
        <w:t xml:space="preserve">  {项目名称}  </w:t>
      </w:r>
      <w:r>
        <w:rPr>
          <w:rFonts w:hint="eastAsia" w:ascii="宋体" w:hAnsi="宋体"/>
          <w:color w:val="000000"/>
          <w:szCs w:val="21"/>
        </w:rPr>
        <w:t>竞争性磋商文件，遵照《中华人民共和国采购法》等有关规定，经踏勘项目现场和研究上述磋商文件后，我方愿按本项目需求、合同条款及本项目要求的条件承包本项目。我方保证项目质量达到合格等级，并承担任何缺陷责任。</w:t>
      </w:r>
    </w:p>
    <w:p>
      <w:pPr>
        <w:spacing w:line="360" w:lineRule="auto"/>
        <w:rPr>
          <w:rFonts w:ascii="宋体" w:hAnsi="宋体"/>
          <w:color w:val="000000"/>
          <w:szCs w:val="21"/>
        </w:rPr>
      </w:pPr>
      <w:r>
        <w:rPr>
          <w:rFonts w:hint="eastAsia" w:ascii="宋体" w:hAnsi="宋体"/>
          <w:color w:val="000000"/>
          <w:szCs w:val="21"/>
        </w:rPr>
        <w:t xml:space="preserve">    二、我方已详细审核全部磋商文件，包括修改文件（如有时）及有关附件。</w:t>
      </w:r>
    </w:p>
    <w:p>
      <w:pPr>
        <w:spacing w:line="360" w:lineRule="auto"/>
        <w:ind w:firstLine="420" w:firstLineChars="200"/>
        <w:rPr>
          <w:rFonts w:ascii="宋体" w:hAnsi="宋体"/>
          <w:szCs w:val="21"/>
        </w:rPr>
      </w:pPr>
      <w:r>
        <w:rPr>
          <w:rFonts w:hint="eastAsia" w:ascii="宋体" w:hAnsi="宋体"/>
          <w:szCs w:val="21"/>
        </w:rPr>
        <w:t>三、我方愿意提供贵中心可能另外要求的，与磋商有关的文件资料，并保证我方已提供和将要提供的文件资料是真实、准确的；</w:t>
      </w:r>
    </w:p>
    <w:p>
      <w:pPr>
        <w:spacing w:line="360" w:lineRule="auto"/>
        <w:ind w:firstLine="420" w:firstLineChars="200"/>
        <w:rPr>
          <w:rFonts w:ascii="宋体" w:hAnsi="宋体"/>
          <w:szCs w:val="21"/>
        </w:rPr>
      </w:pPr>
      <w:r>
        <w:rPr>
          <w:rFonts w:hint="eastAsia" w:ascii="宋体" w:hAnsi="宋体"/>
          <w:szCs w:val="21"/>
        </w:rPr>
        <w:t>四</w:t>
      </w:r>
      <w:r>
        <w:rPr>
          <w:rFonts w:ascii="宋体" w:hAnsi="宋体"/>
          <w:szCs w:val="21"/>
        </w:rPr>
        <w:t>、在评审过程中，</w:t>
      </w:r>
      <w:r>
        <w:rPr>
          <w:rFonts w:hint="eastAsia" w:ascii="宋体" w:hAnsi="宋体"/>
          <w:szCs w:val="21"/>
        </w:rPr>
        <w:t>评审小组</w:t>
      </w:r>
      <w:r>
        <w:rPr>
          <w:rFonts w:ascii="宋体" w:hAnsi="宋体"/>
          <w:szCs w:val="21"/>
        </w:rPr>
        <w:t>认为</w:t>
      </w:r>
      <w:r>
        <w:rPr>
          <w:rFonts w:hint="eastAsia" w:ascii="宋体" w:hAnsi="宋体"/>
          <w:szCs w:val="21"/>
        </w:rPr>
        <w:t>磋商</w:t>
      </w:r>
      <w:r>
        <w:rPr>
          <w:rFonts w:ascii="宋体" w:hAnsi="宋体"/>
          <w:szCs w:val="21"/>
        </w:rPr>
        <w:t>文件有关事项表述不明确或需要说明的，我</w:t>
      </w:r>
      <w:r>
        <w:rPr>
          <w:rFonts w:hint="eastAsia" w:ascii="宋体" w:hAnsi="宋体"/>
          <w:szCs w:val="21"/>
        </w:rPr>
        <w:t>方</w:t>
      </w:r>
      <w:r>
        <w:rPr>
          <w:rFonts w:ascii="宋体" w:hAnsi="宋体"/>
          <w:szCs w:val="21"/>
        </w:rPr>
        <w:t>将</w:t>
      </w:r>
      <w:r>
        <w:rPr>
          <w:rFonts w:hint="eastAsia" w:ascii="宋体" w:hAnsi="宋体"/>
          <w:szCs w:val="21"/>
        </w:rPr>
        <w:t>完全</w:t>
      </w:r>
      <w:r>
        <w:rPr>
          <w:rFonts w:ascii="宋体" w:hAnsi="宋体"/>
          <w:szCs w:val="21"/>
        </w:rPr>
        <w:t>接受</w:t>
      </w:r>
      <w:r>
        <w:rPr>
          <w:rFonts w:hint="eastAsia" w:ascii="宋体" w:hAnsi="宋体"/>
          <w:szCs w:val="21"/>
        </w:rPr>
        <w:t>采购中心</w:t>
      </w:r>
      <w:r>
        <w:rPr>
          <w:rFonts w:ascii="宋体" w:hAnsi="宋体"/>
          <w:szCs w:val="21"/>
        </w:rPr>
        <w:t>的</w:t>
      </w:r>
      <w:r>
        <w:rPr>
          <w:rFonts w:hint="eastAsia" w:ascii="宋体" w:hAnsi="宋体"/>
          <w:szCs w:val="21"/>
        </w:rPr>
        <w:t>书面</w:t>
      </w:r>
      <w:r>
        <w:rPr>
          <w:rFonts w:ascii="宋体" w:hAnsi="宋体"/>
          <w:szCs w:val="21"/>
        </w:rPr>
        <w:t>解释；</w:t>
      </w:r>
    </w:p>
    <w:p>
      <w:pPr>
        <w:spacing w:line="360" w:lineRule="auto"/>
        <w:ind w:firstLine="420" w:firstLineChars="200"/>
        <w:rPr>
          <w:rFonts w:ascii="宋体" w:hAnsi="宋体"/>
          <w:color w:val="000000"/>
          <w:szCs w:val="21"/>
        </w:rPr>
      </w:pPr>
      <w:r>
        <w:rPr>
          <w:rFonts w:hint="eastAsia" w:ascii="宋体" w:hAnsi="宋体"/>
          <w:color w:val="000000"/>
          <w:szCs w:val="21"/>
        </w:rPr>
        <w:t>五、除非另外达成协议并生效，你方的成交通知书和本磋商文件将成为约束双方的合同文件的组成部分。</w:t>
      </w:r>
    </w:p>
    <w:p>
      <w:pPr>
        <w:spacing w:line="360" w:lineRule="auto"/>
        <w:ind w:firstLine="420" w:firstLineChars="200"/>
        <w:rPr>
          <w:rFonts w:ascii="宋体" w:hAnsi="宋体"/>
          <w:szCs w:val="21"/>
        </w:rPr>
      </w:pPr>
      <w:r>
        <w:rPr>
          <w:rFonts w:hint="eastAsia" w:ascii="宋体" w:hAnsi="宋体"/>
          <w:szCs w:val="21"/>
        </w:rPr>
        <w:t>六</w:t>
      </w:r>
      <w:r>
        <w:rPr>
          <w:rFonts w:ascii="宋体" w:hAnsi="宋体"/>
          <w:szCs w:val="21"/>
        </w:rPr>
        <w:t>、我方报价均真实有效，不存在不正当竞争行为</w:t>
      </w:r>
      <w:r>
        <w:rPr>
          <w:rFonts w:hint="eastAsia" w:ascii="宋体" w:hAnsi="宋体"/>
          <w:szCs w:val="21"/>
        </w:rPr>
        <w:t>，并且</w:t>
      </w:r>
      <w:r>
        <w:rPr>
          <w:rFonts w:ascii="宋体" w:hAnsi="宋体"/>
          <w:szCs w:val="21"/>
        </w:rPr>
        <w:t>不存在以低价谋取成交后提供不良产品</w:t>
      </w:r>
      <w:r>
        <w:rPr>
          <w:rFonts w:hint="eastAsia" w:ascii="宋体" w:hAnsi="宋体"/>
          <w:szCs w:val="21"/>
        </w:rPr>
        <w:t>或者</w:t>
      </w:r>
      <w:r>
        <w:rPr>
          <w:rFonts w:ascii="宋体" w:hAnsi="宋体"/>
          <w:szCs w:val="21"/>
        </w:rPr>
        <w:t>不诚信履约情况</w:t>
      </w:r>
      <w:r>
        <w:rPr>
          <w:rFonts w:hint="eastAsia" w:ascii="宋体" w:hAnsi="宋体"/>
          <w:szCs w:val="21"/>
        </w:rPr>
        <w:t>。</w:t>
      </w:r>
      <w:r>
        <w:rPr>
          <w:rFonts w:hint="eastAsia" w:ascii="宋体" w:hAnsi="宋体"/>
          <w:color w:val="000000"/>
          <w:szCs w:val="21"/>
        </w:rPr>
        <w:t>评审小组</w:t>
      </w:r>
      <w:r>
        <w:rPr>
          <w:rFonts w:ascii="宋体" w:hAnsi="宋体"/>
          <w:color w:val="000000"/>
          <w:szCs w:val="21"/>
        </w:rPr>
        <w:t>认为我方报价</w:t>
      </w:r>
      <w:r>
        <w:rPr>
          <w:rFonts w:hint="eastAsia" w:ascii="宋体" w:hAnsi="宋体"/>
          <w:color w:val="000000"/>
          <w:szCs w:val="21"/>
        </w:rPr>
        <w:t>涉嫌</w:t>
      </w:r>
      <w:r>
        <w:rPr>
          <w:rFonts w:ascii="宋体" w:hAnsi="宋体"/>
          <w:color w:val="000000"/>
          <w:szCs w:val="21"/>
        </w:rPr>
        <w:t>不正当竞争，我方将按照</w:t>
      </w:r>
      <w:r>
        <w:rPr>
          <w:rFonts w:hint="eastAsia" w:ascii="宋体" w:hAnsi="宋体"/>
          <w:color w:val="000000"/>
          <w:szCs w:val="21"/>
        </w:rPr>
        <w:t>评审小组</w:t>
      </w:r>
      <w:r>
        <w:rPr>
          <w:rFonts w:ascii="宋体" w:hAnsi="宋体"/>
          <w:color w:val="000000"/>
          <w:szCs w:val="21"/>
        </w:rPr>
        <w:t>要求</w:t>
      </w:r>
      <w:r>
        <w:rPr>
          <w:rFonts w:hint="eastAsia" w:ascii="宋体" w:hAnsi="宋体"/>
          <w:color w:val="000000"/>
          <w:szCs w:val="21"/>
        </w:rPr>
        <w:t>积极</w:t>
      </w:r>
      <w:r>
        <w:rPr>
          <w:rFonts w:ascii="宋体" w:hAnsi="宋体"/>
          <w:color w:val="000000"/>
          <w:szCs w:val="21"/>
        </w:rPr>
        <w:t>配合提供相关证明材料</w:t>
      </w:r>
      <w:r>
        <w:rPr>
          <w:rFonts w:hint="eastAsia" w:ascii="宋体" w:hAnsi="宋体"/>
          <w:color w:val="000000"/>
          <w:szCs w:val="21"/>
        </w:rPr>
        <w:t>；并</w:t>
      </w:r>
      <w:r>
        <w:rPr>
          <w:rFonts w:ascii="宋体" w:hAnsi="宋体"/>
          <w:color w:val="000000"/>
          <w:szCs w:val="21"/>
        </w:rPr>
        <w:t>接受</w:t>
      </w:r>
      <w:r>
        <w:rPr>
          <w:rFonts w:hint="eastAsia" w:ascii="宋体" w:hAnsi="宋体"/>
          <w:color w:val="000000"/>
          <w:szCs w:val="21"/>
        </w:rPr>
        <w:t>评审小组的</w:t>
      </w:r>
      <w:r>
        <w:rPr>
          <w:rFonts w:ascii="宋体" w:hAnsi="宋体"/>
          <w:color w:val="000000"/>
          <w:szCs w:val="21"/>
        </w:rPr>
        <w:t>评审认定。</w:t>
      </w:r>
      <w:r>
        <w:rPr>
          <w:rFonts w:hint="eastAsia" w:ascii="宋体" w:hAnsi="宋体"/>
          <w:b/>
          <w:bCs/>
          <w:color w:val="FF0000"/>
          <w:szCs w:val="21"/>
        </w:rPr>
        <w:t>如果评审小组认为磋商内容未作实质性变动或修改、不</w:t>
      </w:r>
      <w:r>
        <w:rPr>
          <w:rFonts w:hint="eastAsia" w:ascii="宋体" w:hAnsi="宋体"/>
          <w:b/>
          <w:bCs/>
          <w:color w:val="FF0000"/>
          <w:sz w:val="22"/>
        </w:rPr>
        <w:t>影响供应商成本投入的情况下，</w:t>
      </w:r>
      <w:r>
        <w:rPr>
          <w:rFonts w:hint="eastAsia" w:ascii="宋体" w:hAnsi="宋体"/>
          <w:b/>
          <w:bCs/>
          <w:color w:val="FF0000"/>
          <w:szCs w:val="21"/>
        </w:rPr>
        <w:t>我方同意将已递交的“报价响应文件”中的报价作为本项目最终报价。</w:t>
      </w:r>
    </w:p>
    <w:p>
      <w:pPr>
        <w:spacing w:line="360" w:lineRule="auto"/>
        <w:ind w:firstLine="420" w:firstLineChars="200"/>
        <w:rPr>
          <w:rFonts w:ascii="宋体" w:hAnsi="宋体"/>
          <w:color w:val="000000"/>
          <w:szCs w:val="21"/>
        </w:rPr>
      </w:pPr>
      <w:r>
        <w:rPr>
          <w:rFonts w:hint="eastAsia" w:ascii="宋体" w:hAnsi="宋体"/>
          <w:szCs w:val="21"/>
        </w:rPr>
        <w:t>七、</w:t>
      </w:r>
      <w:r>
        <w:rPr>
          <w:rFonts w:ascii="宋体" w:hAnsi="宋体"/>
          <w:color w:val="000000"/>
          <w:szCs w:val="21"/>
        </w:rPr>
        <w:t>采购人需追加与合同相同的</w:t>
      </w:r>
      <w:r>
        <w:rPr>
          <w:rFonts w:hint="eastAsia" w:ascii="宋体" w:hAnsi="宋体"/>
          <w:color w:val="000000"/>
          <w:szCs w:val="21"/>
        </w:rPr>
        <w:t>货物（工程）</w:t>
      </w:r>
      <w:r>
        <w:rPr>
          <w:rFonts w:ascii="宋体" w:hAnsi="宋体"/>
          <w:color w:val="000000"/>
          <w:szCs w:val="21"/>
        </w:rPr>
        <w:t>，</w:t>
      </w:r>
      <w:r>
        <w:rPr>
          <w:rFonts w:hint="eastAsia" w:ascii="宋体" w:hAnsi="宋体"/>
          <w:color w:val="000000"/>
          <w:szCs w:val="21"/>
        </w:rPr>
        <w:t>且</w:t>
      </w:r>
      <w:r>
        <w:rPr>
          <w:rFonts w:ascii="宋体" w:hAnsi="宋体"/>
          <w:color w:val="000000"/>
          <w:szCs w:val="21"/>
        </w:rPr>
        <w:t>采购金额不</w:t>
      </w:r>
      <w:r>
        <w:rPr>
          <w:rFonts w:hint="eastAsia" w:ascii="宋体" w:hAnsi="宋体"/>
          <w:color w:val="000000"/>
          <w:szCs w:val="21"/>
        </w:rPr>
        <w:t>超</w:t>
      </w:r>
      <w:r>
        <w:rPr>
          <w:rFonts w:ascii="宋体" w:hAnsi="宋体"/>
          <w:color w:val="000000"/>
          <w:szCs w:val="21"/>
        </w:rPr>
        <w:t>过原合同采购金额的</w:t>
      </w:r>
      <w:r>
        <w:rPr>
          <w:rFonts w:hint="eastAsia" w:ascii="宋体" w:hAnsi="宋体"/>
          <w:color w:val="000000"/>
          <w:szCs w:val="21"/>
        </w:rPr>
        <w:t>10</w:t>
      </w:r>
      <w:r>
        <w:rPr>
          <w:rFonts w:ascii="宋体" w:hAnsi="宋体"/>
          <w:color w:val="000000"/>
          <w:szCs w:val="21"/>
        </w:rPr>
        <w:t>%的</w:t>
      </w:r>
      <w:r>
        <w:rPr>
          <w:rFonts w:hint="eastAsia" w:ascii="宋体" w:hAnsi="宋体"/>
          <w:color w:val="000000"/>
          <w:szCs w:val="21"/>
        </w:rPr>
        <w:t>，</w:t>
      </w:r>
      <w:r>
        <w:rPr>
          <w:rFonts w:ascii="宋体" w:hAnsi="宋体"/>
          <w:color w:val="000000"/>
          <w:szCs w:val="21"/>
        </w:rPr>
        <w:t>我方承诺</w:t>
      </w:r>
      <w:r>
        <w:rPr>
          <w:rFonts w:hint="eastAsia" w:ascii="宋体" w:hAnsi="宋体"/>
          <w:color w:val="000000"/>
          <w:szCs w:val="21"/>
        </w:rPr>
        <w:t>接受追加。</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500" w:lineRule="exact"/>
        <w:jc w:val="left"/>
        <w:rPr>
          <w:rFonts w:ascii="宋体" w:hAnsi="宋体"/>
          <w:sz w:val="24"/>
        </w:rPr>
      </w:pPr>
      <w:r>
        <w:rPr>
          <w:rFonts w:hint="eastAsia" w:ascii="宋体" w:hAnsi="宋体"/>
          <w:sz w:val="24"/>
        </w:rPr>
        <w:t>供应商全称：</w:t>
      </w:r>
      <w:r>
        <w:rPr>
          <w:rFonts w:hint="eastAsia" w:ascii="宋体" w:hAnsi="宋体"/>
          <w:sz w:val="24"/>
          <w:u w:val="single"/>
        </w:rPr>
        <w:t>　　　</w:t>
      </w:r>
      <w:r>
        <w:rPr>
          <w:rFonts w:ascii="宋体" w:hAnsi="宋体"/>
          <w:sz w:val="24"/>
          <w:u w:val="single"/>
        </w:rPr>
        <w:t xml:space="preserve">              </w:t>
      </w:r>
      <w:r>
        <w:rPr>
          <w:rFonts w:hint="eastAsia" w:ascii="宋体" w:hAnsi="宋体"/>
          <w:sz w:val="24"/>
          <w:u w:val="single"/>
        </w:rPr>
        <w:t>（盖单位公章）</w:t>
      </w:r>
    </w:p>
    <w:p>
      <w:pPr>
        <w:spacing w:line="500" w:lineRule="exact"/>
        <w:jc w:val="left"/>
        <w:rPr>
          <w:rFonts w:ascii="宋体" w:hAnsi="宋体"/>
          <w:sz w:val="24"/>
          <w:u w:val="single"/>
        </w:rPr>
      </w:pPr>
      <w:r>
        <w:rPr>
          <w:rFonts w:hint="eastAsia" w:ascii="宋体" w:hAnsi="宋体"/>
          <w:sz w:val="24"/>
        </w:rPr>
        <w:t>法定代表人（负责人）或授权代表：</w:t>
      </w:r>
      <w:r>
        <w:rPr>
          <w:rFonts w:hint="eastAsia" w:ascii="宋体" w:hAnsi="宋体"/>
          <w:sz w:val="24"/>
          <w:u w:val="single"/>
        </w:rPr>
        <w:t>　　　　　　　　　　　　　　（签字）</w:t>
      </w:r>
    </w:p>
    <w:p>
      <w:pPr>
        <w:spacing w:line="500" w:lineRule="exact"/>
        <w:jc w:val="left"/>
        <w:rPr>
          <w:rFonts w:ascii="宋体" w:hAnsi="宋体"/>
          <w:sz w:val="24"/>
        </w:rPr>
      </w:pPr>
      <w:r>
        <w:rPr>
          <w:rFonts w:hint="eastAsia" w:ascii="宋体" w:hAnsi="宋体"/>
          <w:sz w:val="24"/>
        </w:rPr>
        <w:t>日期：</w:t>
      </w:r>
      <w:r>
        <w:rPr>
          <w:rFonts w:hint="eastAsia" w:ascii="宋体" w:hAnsi="宋体"/>
          <w:sz w:val="24"/>
          <w:u w:val="single"/>
        </w:rPr>
        <w:t>　　　　　年　　　月　　　　日</w:t>
      </w:r>
    </w:p>
    <w:p>
      <w:pPr>
        <w:pStyle w:val="5"/>
        <w:spacing w:line="360" w:lineRule="auto"/>
        <w:rPr>
          <w:rFonts w:ascii="宋体" w:hAnsi="宋体" w:cs="黑体"/>
          <w:sz w:val="28"/>
          <w:szCs w:val="28"/>
        </w:rPr>
      </w:pPr>
      <w:r>
        <w:rPr>
          <w:rFonts w:ascii="宋体" w:hAnsi="宋体"/>
        </w:rPr>
        <w:br w:type="page"/>
      </w:r>
      <w:bookmarkStart w:id="171" w:name="_Toc112257064"/>
      <w:r>
        <w:rPr>
          <w:rFonts w:hint="eastAsia" w:ascii="宋体" w:hAnsi="宋体" w:cs="宋体"/>
          <w:sz w:val="28"/>
          <w:szCs w:val="28"/>
        </w:rPr>
        <w:t>二、项目实施方案</w:t>
      </w:r>
      <w:bookmarkEnd w:id="171"/>
    </w:p>
    <w:p>
      <w:pPr>
        <w:spacing w:line="360" w:lineRule="auto"/>
        <w:rPr>
          <w:rFonts w:ascii="宋体" w:hAnsi="宋体"/>
        </w:rPr>
      </w:pPr>
      <w:r>
        <w:rPr>
          <w:rFonts w:hint="eastAsia" w:ascii="宋体" w:hAnsi="宋体"/>
        </w:rPr>
        <w:t>包括</w:t>
      </w:r>
      <w:r>
        <w:rPr>
          <w:rFonts w:ascii="宋体" w:hAnsi="宋体"/>
        </w:rPr>
        <w:t>但不限于如</w:t>
      </w:r>
      <w:r>
        <w:rPr>
          <w:rFonts w:hint="eastAsia" w:ascii="宋体" w:hAnsi="宋体"/>
        </w:rPr>
        <w:t>工</w:t>
      </w:r>
      <w:r>
        <w:rPr>
          <w:rFonts w:ascii="宋体" w:hAnsi="宋体"/>
        </w:rPr>
        <w:t>作方案</w:t>
      </w:r>
      <w:r>
        <w:rPr>
          <w:rFonts w:hint="eastAsia" w:ascii="宋体" w:hAnsi="宋体"/>
        </w:rPr>
        <w:t>、人</w:t>
      </w:r>
      <w:r>
        <w:rPr>
          <w:rFonts w:ascii="宋体" w:hAnsi="宋体"/>
        </w:rPr>
        <w:t>员</w:t>
      </w:r>
      <w:r>
        <w:rPr>
          <w:rFonts w:hint="eastAsia" w:ascii="宋体" w:hAnsi="宋体"/>
        </w:rPr>
        <w:t>配备情况（含管理、</w:t>
      </w:r>
      <w:r>
        <w:rPr>
          <w:rFonts w:ascii="宋体" w:hAnsi="宋体"/>
        </w:rPr>
        <w:t>技术</w:t>
      </w:r>
      <w:r>
        <w:rPr>
          <w:rFonts w:hint="eastAsia" w:ascii="宋体" w:hAnsi="宋体"/>
        </w:rPr>
        <w:t>人</w:t>
      </w:r>
      <w:r>
        <w:rPr>
          <w:rFonts w:ascii="宋体" w:hAnsi="宋体"/>
        </w:rPr>
        <w:t>员及</w:t>
      </w:r>
      <w:r>
        <w:rPr>
          <w:rFonts w:hint="eastAsia" w:ascii="宋体" w:hAnsi="宋体"/>
        </w:rPr>
        <w:t>售后服务人员、</w:t>
      </w:r>
      <w:r>
        <w:rPr>
          <w:rFonts w:ascii="宋体" w:hAnsi="宋体"/>
        </w:rPr>
        <w:t>联系方式</w:t>
      </w:r>
      <w:r>
        <w:rPr>
          <w:rFonts w:hint="eastAsia" w:ascii="宋体" w:hAnsi="宋体"/>
        </w:rPr>
        <w:t>等</w:t>
      </w:r>
      <w:r>
        <w:rPr>
          <w:rFonts w:ascii="宋体" w:hAnsi="宋体"/>
        </w:rPr>
        <w:t>）、</w:t>
      </w:r>
      <w:r>
        <w:rPr>
          <w:rFonts w:hint="eastAsia" w:ascii="宋体" w:hAnsi="宋体"/>
        </w:rPr>
        <w:t>质量保证措施、售后服务（含应急方案）、进度安排</w:t>
      </w:r>
      <w:r>
        <w:rPr>
          <w:rFonts w:ascii="宋体" w:hAnsi="宋体"/>
        </w:rPr>
        <w:t>、</w:t>
      </w:r>
      <w:r>
        <w:rPr>
          <w:rFonts w:hint="eastAsia" w:ascii="宋体" w:hAnsi="宋体"/>
        </w:rPr>
        <w:t>履约验收方案</w:t>
      </w:r>
      <w:r>
        <w:rPr>
          <w:rFonts w:ascii="宋体" w:hAnsi="宋体"/>
        </w:rPr>
        <w:t>等</w:t>
      </w:r>
      <w:r>
        <w:rPr>
          <w:rFonts w:hint="eastAsia" w:ascii="宋体" w:hAnsi="宋体"/>
        </w:rPr>
        <w:t>，请结合采购人现场实际情况和本项目的特点作出响应</w:t>
      </w:r>
      <w:r>
        <w:rPr>
          <w:rFonts w:ascii="宋体" w:hAnsi="宋体"/>
        </w:rPr>
        <w:t>。</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500" w:lineRule="exact"/>
        <w:jc w:val="left"/>
        <w:rPr>
          <w:rFonts w:ascii="宋体" w:hAnsi="宋体"/>
          <w:sz w:val="24"/>
        </w:rPr>
      </w:pPr>
      <w:r>
        <w:rPr>
          <w:rFonts w:hint="eastAsia" w:ascii="宋体" w:hAnsi="宋体"/>
          <w:sz w:val="24"/>
        </w:rPr>
        <w:t>供应商全称：</w:t>
      </w:r>
      <w:r>
        <w:rPr>
          <w:rFonts w:hint="eastAsia" w:ascii="宋体" w:hAnsi="宋体"/>
          <w:sz w:val="24"/>
          <w:u w:val="single"/>
        </w:rPr>
        <w:t>　　　</w:t>
      </w:r>
      <w:r>
        <w:rPr>
          <w:rFonts w:ascii="宋体" w:hAnsi="宋体"/>
          <w:sz w:val="24"/>
          <w:u w:val="single"/>
        </w:rPr>
        <w:t xml:space="preserve">              </w:t>
      </w:r>
      <w:r>
        <w:rPr>
          <w:rFonts w:hint="eastAsia" w:ascii="宋体" w:hAnsi="宋体"/>
          <w:sz w:val="24"/>
          <w:u w:val="single"/>
        </w:rPr>
        <w:t>（盖单位公章）</w:t>
      </w:r>
    </w:p>
    <w:p>
      <w:pPr>
        <w:spacing w:line="500" w:lineRule="exact"/>
        <w:jc w:val="left"/>
        <w:rPr>
          <w:rFonts w:ascii="宋体" w:hAnsi="宋体"/>
          <w:sz w:val="24"/>
          <w:u w:val="single"/>
        </w:rPr>
      </w:pPr>
      <w:r>
        <w:rPr>
          <w:rFonts w:hint="eastAsia" w:ascii="宋体" w:hAnsi="宋体"/>
          <w:sz w:val="24"/>
        </w:rPr>
        <w:t>法定代表人（负责人）或授权代表：</w:t>
      </w:r>
      <w:r>
        <w:rPr>
          <w:rFonts w:hint="eastAsia" w:ascii="宋体" w:hAnsi="宋体"/>
          <w:sz w:val="24"/>
          <w:u w:val="single"/>
        </w:rPr>
        <w:t>　　　　　　　　　　　　　　（签字）</w:t>
      </w:r>
    </w:p>
    <w:p>
      <w:pPr>
        <w:spacing w:line="500" w:lineRule="exact"/>
        <w:jc w:val="left"/>
        <w:rPr>
          <w:rFonts w:ascii="宋体" w:hAnsi="宋体"/>
          <w:sz w:val="24"/>
        </w:rPr>
      </w:pPr>
      <w:r>
        <w:rPr>
          <w:rFonts w:hint="eastAsia" w:ascii="宋体" w:hAnsi="宋体"/>
          <w:sz w:val="24"/>
        </w:rPr>
        <w:t>日期：</w:t>
      </w:r>
      <w:r>
        <w:rPr>
          <w:rFonts w:hint="eastAsia" w:ascii="宋体" w:hAnsi="宋体"/>
          <w:sz w:val="24"/>
          <w:u w:val="single"/>
        </w:rPr>
        <w:t>　　　　　年　　　月　　　　日</w:t>
      </w:r>
    </w:p>
    <w:p>
      <w:pPr>
        <w:spacing w:line="360" w:lineRule="auto"/>
        <w:rPr>
          <w:rFonts w:ascii="宋体" w:hAnsi="宋体"/>
        </w:rPr>
      </w:pPr>
      <w:r>
        <w:rPr>
          <w:rFonts w:ascii="宋体" w:hAnsi="宋体"/>
        </w:rPr>
        <w:br w:type="page"/>
      </w:r>
    </w:p>
    <w:p>
      <w:pPr>
        <w:pStyle w:val="5"/>
        <w:spacing w:line="360" w:lineRule="auto"/>
        <w:rPr>
          <w:rFonts w:ascii="宋体" w:hAnsi="宋体" w:cs="宋体"/>
          <w:sz w:val="28"/>
          <w:szCs w:val="28"/>
        </w:rPr>
      </w:pPr>
      <w:bookmarkStart w:id="172" w:name="_Toc112257065"/>
      <w:r>
        <w:rPr>
          <w:rFonts w:hint="eastAsia" w:ascii="宋体" w:hAnsi="宋体" w:cs="宋体"/>
          <w:sz w:val="28"/>
          <w:szCs w:val="28"/>
        </w:rPr>
        <w:t>三、技术参数</w:t>
      </w:r>
      <w:bookmarkEnd w:id="166"/>
      <w:r>
        <w:rPr>
          <w:rFonts w:hint="eastAsia" w:ascii="宋体" w:hAnsi="宋体" w:cs="宋体"/>
          <w:sz w:val="28"/>
          <w:szCs w:val="28"/>
        </w:rPr>
        <w:t>应答表</w:t>
      </w:r>
      <w:bookmarkEnd w:id="172"/>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2485"/>
        <w:gridCol w:w="1912"/>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5" w:type="dxa"/>
            <w:vAlign w:val="center"/>
          </w:tcPr>
          <w:p>
            <w:pPr>
              <w:jc w:val="center"/>
              <w:rPr>
                <w:rFonts w:ascii="宋体" w:hAnsi="宋体"/>
                <w:color w:val="000000"/>
                <w:sz w:val="24"/>
              </w:rPr>
            </w:pPr>
            <w:r>
              <w:rPr>
                <w:rFonts w:hint="eastAsia" w:ascii="宋体" w:hAnsi="宋体"/>
                <w:color w:val="000000"/>
                <w:sz w:val="24"/>
              </w:rPr>
              <w:t>序号</w:t>
            </w:r>
          </w:p>
        </w:tc>
        <w:tc>
          <w:tcPr>
            <w:tcW w:w="2485" w:type="dxa"/>
            <w:vAlign w:val="center"/>
          </w:tcPr>
          <w:p>
            <w:pPr>
              <w:jc w:val="center"/>
              <w:rPr>
                <w:rFonts w:ascii="宋体" w:hAnsi="宋体"/>
                <w:color w:val="000000"/>
                <w:sz w:val="24"/>
              </w:rPr>
            </w:pPr>
            <w:r>
              <w:rPr>
                <w:rFonts w:hint="eastAsia" w:ascii="宋体" w:hAnsi="宋体"/>
                <w:color w:val="000000"/>
                <w:sz w:val="24"/>
              </w:rPr>
              <w:t>磋商文件要求</w:t>
            </w:r>
          </w:p>
        </w:tc>
        <w:tc>
          <w:tcPr>
            <w:tcW w:w="1912" w:type="dxa"/>
            <w:vAlign w:val="center"/>
          </w:tcPr>
          <w:p>
            <w:pPr>
              <w:jc w:val="center"/>
              <w:rPr>
                <w:rFonts w:ascii="宋体" w:hAnsi="宋体"/>
                <w:color w:val="000000"/>
                <w:sz w:val="24"/>
              </w:rPr>
            </w:pPr>
            <w:r>
              <w:rPr>
                <w:rFonts w:hint="eastAsia" w:ascii="宋体" w:hAnsi="宋体"/>
                <w:color w:val="000000"/>
                <w:sz w:val="24"/>
              </w:rPr>
              <w:t>响应描述</w:t>
            </w:r>
          </w:p>
        </w:tc>
        <w:tc>
          <w:tcPr>
            <w:tcW w:w="2416" w:type="dxa"/>
            <w:vAlign w:val="center"/>
          </w:tcPr>
          <w:p>
            <w:pPr>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5" w:type="dxa"/>
          </w:tcPr>
          <w:p>
            <w:pPr>
              <w:jc w:val="center"/>
              <w:rPr>
                <w:rFonts w:ascii="宋体" w:hAnsi="宋体"/>
                <w:color w:val="000000"/>
                <w:sz w:val="24"/>
              </w:rPr>
            </w:pPr>
          </w:p>
        </w:tc>
        <w:tc>
          <w:tcPr>
            <w:tcW w:w="2485" w:type="dxa"/>
          </w:tcPr>
          <w:p>
            <w:pPr>
              <w:jc w:val="center"/>
              <w:rPr>
                <w:rFonts w:ascii="宋体" w:hAnsi="宋体"/>
                <w:color w:val="000000"/>
                <w:sz w:val="24"/>
              </w:rPr>
            </w:pPr>
          </w:p>
        </w:tc>
        <w:tc>
          <w:tcPr>
            <w:tcW w:w="1912" w:type="dxa"/>
          </w:tcPr>
          <w:p>
            <w:pPr>
              <w:jc w:val="center"/>
              <w:rPr>
                <w:rFonts w:ascii="宋体" w:hAnsi="宋体"/>
                <w:color w:val="000000"/>
                <w:sz w:val="24"/>
              </w:rPr>
            </w:pPr>
          </w:p>
        </w:tc>
        <w:tc>
          <w:tcPr>
            <w:tcW w:w="2416" w:type="dxa"/>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5" w:type="dxa"/>
          </w:tcPr>
          <w:p>
            <w:pPr>
              <w:rPr>
                <w:rFonts w:ascii="宋体" w:hAnsi="宋体"/>
                <w:color w:val="000000"/>
                <w:sz w:val="24"/>
              </w:rPr>
            </w:pPr>
          </w:p>
        </w:tc>
        <w:tc>
          <w:tcPr>
            <w:tcW w:w="2485" w:type="dxa"/>
          </w:tcPr>
          <w:p>
            <w:pPr>
              <w:rPr>
                <w:rFonts w:ascii="宋体" w:hAnsi="宋体"/>
                <w:color w:val="000000"/>
                <w:sz w:val="24"/>
              </w:rPr>
            </w:pPr>
          </w:p>
        </w:tc>
        <w:tc>
          <w:tcPr>
            <w:tcW w:w="1912" w:type="dxa"/>
          </w:tcPr>
          <w:p>
            <w:pPr>
              <w:rPr>
                <w:rFonts w:ascii="宋体" w:hAnsi="宋体"/>
                <w:color w:val="000000"/>
                <w:sz w:val="24"/>
              </w:rPr>
            </w:pPr>
          </w:p>
        </w:tc>
        <w:tc>
          <w:tcPr>
            <w:tcW w:w="2416"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5" w:type="dxa"/>
          </w:tcPr>
          <w:p>
            <w:pPr>
              <w:rPr>
                <w:rFonts w:ascii="宋体" w:hAnsi="宋体"/>
                <w:color w:val="000000"/>
                <w:sz w:val="24"/>
              </w:rPr>
            </w:pPr>
          </w:p>
        </w:tc>
        <w:tc>
          <w:tcPr>
            <w:tcW w:w="2485" w:type="dxa"/>
          </w:tcPr>
          <w:p>
            <w:pPr>
              <w:rPr>
                <w:rFonts w:ascii="宋体" w:hAnsi="宋体"/>
                <w:color w:val="000000"/>
                <w:sz w:val="24"/>
              </w:rPr>
            </w:pPr>
          </w:p>
        </w:tc>
        <w:tc>
          <w:tcPr>
            <w:tcW w:w="1912" w:type="dxa"/>
          </w:tcPr>
          <w:p>
            <w:pPr>
              <w:rPr>
                <w:rFonts w:ascii="宋体" w:hAnsi="宋体"/>
                <w:color w:val="000000"/>
                <w:sz w:val="24"/>
              </w:rPr>
            </w:pPr>
          </w:p>
        </w:tc>
        <w:tc>
          <w:tcPr>
            <w:tcW w:w="2416"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5" w:type="dxa"/>
          </w:tcPr>
          <w:p>
            <w:pPr>
              <w:rPr>
                <w:rFonts w:ascii="宋体" w:hAnsi="宋体"/>
                <w:color w:val="000000"/>
                <w:sz w:val="24"/>
              </w:rPr>
            </w:pPr>
          </w:p>
        </w:tc>
        <w:tc>
          <w:tcPr>
            <w:tcW w:w="2485" w:type="dxa"/>
          </w:tcPr>
          <w:p>
            <w:pPr>
              <w:rPr>
                <w:rFonts w:ascii="宋体" w:hAnsi="宋体"/>
                <w:color w:val="000000"/>
                <w:sz w:val="24"/>
              </w:rPr>
            </w:pPr>
          </w:p>
        </w:tc>
        <w:tc>
          <w:tcPr>
            <w:tcW w:w="1912" w:type="dxa"/>
          </w:tcPr>
          <w:p>
            <w:pPr>
              <w:rPr>
                <w:rFonts w:ascii="宋体" w:hAnsi="宋体"/>
                <w:color w:val="000000"/>
                <w:sz w:val="24"/>
              </w:rPr>
            </w:pPr>
          </w:p>
        </w:tc>
        <w:tc>
          <w:tcPr>
            <w:tcW w:w="2416"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5" w:type="dxa"/>
          </w:tcPr>
          <w:p>
            <w:pPr>
              <w:rPr>
                <w:rFonts w:ascii="宋体" w:hAnsi="宋体"/>
                <w:color w:val="000000"/>
                <w:sz w:val="24"/>
              </w:rPr>
            </w:pPr>
          </w:p>
        </w:tc>
        <w:tc>
          <w:tcPr>
            <w:tcW w:w="2485" w:type="dxa"/>
          </w:tcPr>
          <w:p>
            <w:pPr>
              <w:rPr>
                <w:rFonts w:ascii="宋体" w:hAnsi="宋体"/>
                <w:color w:val="000000"/>
                <w:sz w:val="24"/>
              </w:rPr>
            </w:pPr>
          </w:p>
        </w:tc>
        <w:tc>
          <w:tcPr>
            <w:tcW w:w="1912" w:type="dxa"/>
          </w:tcPr>
          <w:p>
            <w:pPr>
              <w:rPr>
                <w:rFonts w:ascii="宋体" w:hAnsi="宋体"/>
                <w:color w:val="000000"/>
                <w:sz w:val="24"/>
              </w:rPr>
            </w:pPr>
          </w:p>
        </w:tc>
        <w:tc>
          <w:tcPr>
            <w:tcW w:w="2416"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5" w:type="dxa"/>
          </w:tcPr>
          <w:p>
            <w:pPr>
              <w:rPr>
                <w:rFonts w:ascii="宋体" w:hAnsi="宋体"/>
                <w:color w:val="000000"/>
                <w:sz w:val="24"/>
              </w:rPr>
            </w:pPr>
          </w:p>
        </w:tc>
        <w:tc>
          <w:tcPr>
            <w:tcW w:w="2485" w:type="dxa"/>
          </w:tcPr>
          <w:p>
            <w:pPr>
              <w:rPr>
                <w:rFonts w:ascii="宋体" w:hAnsi="宋体"/>
                <w:color w:val="000000"/>
                <w:sz w:val="24"/>
              </w:rPr>
            </w:pPr>
          </w:p>
        </w:tc>
        <w:tc>
          <w:tcPr>
            <w:tcW w:w="1912" w:type="dxa"/>
          </w:tcPr>
          <w:p>
            <w:pPr>
              <w:rPr>
                <w:rFonts w:ascii="宋体" w:hAnsi="宋体"/>
                <w:color w:val="000000"/>
                <w:sz w:val="24"/>
              </w:rPr>
            </w:pPr>
          </w:p>
        </w:tc>
        <w:tc>
          <w:tcPr>
            <w:tcW w:w="2416"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5" w:type="dxa"/>
          </w:tcPr>
          <w:p>
            <w:pPr>
              <w:rPr>
                <w:rFonts w:ascii="宋体" w:hAnsi="宋体"/>
                <w:color w:val="000000"/>
                <w:sz w:val="24"/>
              </w:rPr>
            </w:pPr>
          </w:p>
        </w:tc>
        <w:tc>
          <w:tcPr>
            <w:tcW w:w="2485" w:type="dxa"/>
          </w:tcPr>
          <w:p>
            <w:pPr>
              <w:rPr>
                <w:rFonts w:ascii="宋体" w:hAnsi="宋体"/>
                <w:color w:val="000000"/>
                <w:sz w:val="24"/>
              </w:rPr>
            </w:pPr>
          </w:p>
        </w:tc>
        <w:tc>
          <w:tcPr>
            <w:tcW w:w="1912" w:type="dxa"/>
          </w:tcPr>
          <w:p>
            <w:pPr>
              <w:rPr>
                <w:rFonts w:ascii="宋体" w:hAnsi="宋体"/>
                <w:color w:val="000000"/>
                <w:sz w:val="24"/>
              </w:rPr>
            </w:pPr>
          </w:p>
        </w:tc>
        <w:tc>
          <w:tcPr>
            <w:tcW w:w="2416" w:type="dxa"/>
          </w:tcPr>
          <w:p>
            <w:pPr>
              <w:rPr>
                <w:rFonts w:ascii="宋体" w:hAnsi="宋体"/>
                <w:color w:val="000000"/>
                <w:sz w:val="24"/>
              </w:rPr>
            </w:pPr>
          </w:p>
        </w:tc>
      </w:tr>
    </w:tbl>
    <w:p>
      <w:pPr>
        <w:rPr>
          <w:rFonts w:ascii="宋体" w:hAnsi="宋体"/>
        </w:rPr>
      </w:pPr>
    </w:p>
    <w:p>
      <w:pPr>
        <w:spacing w:line="360" w:lineRule="auto"/>
        <w:ind w:firstLine="480" w:firstLineChars="200"/>
        <w:rPr>
          <w:rFonts w:ascii="宋体" w:hAnsi="宋体"/>
          <w:color w:val="000000"/>
          <w:sz w:val="24"/>
        </w:rPr>
      </w:pPr>
      <w:r>
        <w:rPr>
          <w:rFonts w:hint="eastAsia" w:ascii="宋体" w:hAnsi="宋体"/>
          <w:color w:val="000000"/>
          <w:sz w:val="24"/>
        </w:rPr>
        <w:t>注：供应商应针对本文件第六章“采购要求”中采购需求作逐项的响应描述(采购需求中如果有项目背景介绍等类似表述的，可不对此部分要求作响应)。</w:t>
      </w:r>
    </w:p>
    <w:p>
      <w:pPr>
        <w:pStyle w:val="444"/>
        <w:rPr>
          <w:color w:val="000000"/>
          <w:sz w:val="24"/>
        </w:rPr>
      </w:pPr>
    </w:p>
    <w:p>
      <w:pPr>
        <w:spacing w:line="500" w:lineRule="exact"/>
        <w:jc w:val="left"/>
        <w:rPr>
          <w:rFonts w:ascii="宋体" w:hAnsi="宋体"/>
          <w:sz w:val="24"/>
        </w:rPr>
      </w:pPr>
      <w:bookmarkStart w:id="173" w:name="_Toc730"/>
    </w:p>
    <w:p>
      <w:pPr>
        <w:spacing w:line="500" w:lineRule="exact"/>
        <w:jc w:val="left"/>
        <w:rPr>
          <w:rFonts w:ascii="宋体" w:hAnsi="宋体"/>
          <w:sz w:val="24"/>
        </w:rPr>
      </w:pPr>
    </w:p>
    <w:p>
      <w:pPr>
        <w:spacing w:line="500" w:lineRule="exact"/>
        <w:jc w:val="left"/>
        <w:rPr>
          <w:rFonts w:ascii="宋体" w:hAnsi="宋体"/>
          <w:sz w:val="24"/>
        </w:rPr>
      </w:pPr>
      <w:r>
        <w:rPr>
          <w:rFonts w:hint="eastAsia" w:ascii="宋体" w:hAnsi="宋体"/>
          <w:sz w:val="24"/>
        </w:rPr>
        <w:t>供应商全称：</w:t>
      </w:r>
      <w:r>
        <w:rPr>
          <w:rFonts w:hint="eastAsia" w:ascii="宋体" w:hAnsi="宋体"/>
          <w:sz w:val="24"/>
          <w:u w:val="single"/>
        </w:rPr>
        <w:t>　　　</w:t>
      </w:r>
      <w:r>
        <w:rPr>
          <w:rFonts w:ascii="宋体" w:hAnsi="宋体"/>
          <w:sz w:val="24"/>
          <w:u w:val="single"/>
        </w:rPr>
        <w:t xml:space="preserve">              </w:t>
      </w:r>
      <w:r>
        <w:rPr>
          <w:rFonts w:hint="eastAsia" w:ascii="宋体" w:hAnsi="宋体"/>
          <w:sz w:val="24"/>
          <w:u w:val="single"/>
        </w:rPr>
        <w:t>（盖单位公章）</w:t>
      </w:r>
    </w:p>
    <w:p>
      <w:pPr>
        <w:spacing w:line="500" w:lineRule="exact"/>
        <w:jc w:val="left"/>
        <w:rPr>
          <w:rFonts w:ascii="宋体" w:hAnsi="宋体"/>
          <w:sz w:val="24"/>
          <w:u w:val="single"/>
        </w:rPr>
      </w:pPr>
      <w:r>
        <w:rPr>
          <w:rFonts w:hint="eastAsia" w:ascii="宋体" w:hAnsi="宋体"/>
          <w:sz w:val="24"/>
        </w:rPr>
        <w:t>法定代表人（负责人）或授权代表：</w:t>
      </w:r>
      <w:r>
        <w:rPr>
          <w:rFonts w:hint="eastAsia" w:ascii="宋体" w:hAnsi="宋体"/>
          <w:sz w:val="24"/>
          <w:u w:val="single"/>
        </w:rPr>
        <w:t>　　　　　　　　　　　　　　（签字）</w:t>
      </w:r>
    </w:p>
    <w:p>
      <w:pPr>
        <w:spacing w:line="500" w:lineRule="exact"/>
        <w:jc w:val="left"/>
        <w:rPr>
          <w:rFonts w:ascii="宋体" w:hAnsi="宋体"/>
          <w:sz w:val="24"/>
        </w:rPr>
      </w:pPr>
      <w:r>
        <w:rPr>
          <w:rFonts w:hint="eastAsia" w:ascii="宋体" w:hAnsi="宋体"/>
          <w:sz w:val="24"/>
        </w:rPr>
        <w:t>日期：</w:t>
      </w:r>
      <w:r>
        <w:rPr>
          <w:rFonts w:hint="eastAsia" w:ascii="宋体" w:hAnsi="宋体"/>
          <w:sz w:val="24"/>
          <w:u w:val="single"/>
        </w:rPr>
        <w:t>　　　　　年　　　月　　　　日</w:t>
      </w:r>
    </w:p>
    <w:p>
      <w:pPr>
        <w:pStyle w:val="5"/>
        <w:spacing w:line="360" w:lineRule="auto"/>
        <w:rPr>
          <w:rFonts w:ascii="宋体" w:hAnsi="宋体" w:cs="宋体"/>
          <w:sz w:val="28"/>
          <w:szCs w:val="28"/>
        </w:rPr>
      </w:pPr>
      <w:r>
        <w:rPr>
          <w:rFonts w:ascii="宋体" w:hAnsi="宋体"/>
        </w:rPr>
        <w:br w:type="page"/>
      </w:r>
      <w:bookmarkStart w:id="174" w:name="_Toc112257066"/>
      <w:r>
        <w:rPr>
          <w:rFonts w:hint="eastAsia" w:ascii="宋体" w:hAnsi="宋体" w:cs="宋体"/>
          <w:sz w:val="28"/>
          <w:szCs w:val="28"/>
        </w:rPr>
        <w:t>四、采购合同内容主要条款响应及偏离表</w:t>
      </w:r>
      <w:bookmarkEnd w:id="173"/>
      <w:bookmarkEnd w:id="174"/>
    </w:p>
    <w:p>
      <w:pPr>
        <w:snapToGrid w:val="0"/>
        <w:spacing w:before="480" w:line="300" w:lineRule="auto"/>
        <w:rPr>
          <w:rFonts w:ascii="宋体" w:hAnsi="宋体"/>
          <w:b/>
          <w:bCs/>
          <w:color w:val="FF0000"/>
          <w:szCs w:val="21"/>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2207"/>
        <w:gridCol w:w="1827"/>
        <w:gridCol w:w="246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37" w:type="dxa"/>
            <w:vAlign w:val="center"/>
          </w:tcPr>
          <w:p>
            <w:pPr>
              <w:spacing w:line="300" w:lineRule="auto"/>
              <w:jc w:val="center"/>
              <w:rPr>
                <w:rFonts w:ascii="宋体" w:hAnsi="宋体" w:cs="宋体"/>
                <w:sz w:val="24"/>
              </w:rPr>
            </w:pPr>
            <w:r>
              <w:rPr>
                <w:rFonts w:hint="eastAsia" w:ascii="宋体" w:hAnsi="宋体" w:cs="宋体"/>
                <w:sz w:val="24"/>
              </w:rPr>
              <w:t>序号</w:t>
            </w:r>
          </w:p>
        </w:tc>
        <w:tc>
          <w:tcPr>
            <w:tcW w:w="2207" w:type="dxa"/>
            <w:vAlign w:val="center"/>
          </w:tcPr>
          <w:p>
            <w:pPr>
              <w:spacing w:line="300" w:lineRule="auto"/>
              <w:jc w:val="center"/>
              <w:rPr>
                <w:rFonts w:ascii="宋体" w:hAnsi="宋体" w:cs="宋体"/>
                <w:sz w:val="24"/>
              </w:rPr>
            </w:pPr>
            <w:r>
              <w:rPr>
                <w:rFonts w:hint="eastAsia" w:ascii="宋体" w:hAnsi="宋体" w:cs="宋体"/>
                <w:sz w:val="24"/>
              </w:rPr>
              <w:t>磋商文件中的要求</w:t>
            </w:r>
          </w:p>
        </w:tc>
        <w:tc>
          <w:tcPr>
            <w:tcW w:w="1827" w:type="dxa"/>
            <w:vAlign w:val="center"/>
          </w:tcPr>
          <w:p>
            <w:pPr>
              <w:spacing w:line="300" w:lineRule="auto"/>
              <w:jc w:val="center"/>
              <w:rPr>
                <w:rFonts w:ascii="宋体" w:hAnsi="宋体" w:cs="宋体"/>
                <w:sz w:val="24"/>
              </w:rPr>
            </w:pPr>
            <w:r>
              <w:rPr>
                <w:rFonts w:hint="eastAsia" w:ascii="宋体" w:hAnsi="宋体" w:cs="宋体"/>
                <w:sz w:val="24"/>
              </w:rPr>
              <w:t>报价人应答</w:t>
            </w:r>
          </w:p>
        </w:tc>
        <w:tc>
          <w:tcPr>
            <w:tcW w:w="2467" w:type="dxa"/>
            <w:vAlign w:val="center"/>
          </w:tcPr>
          <w:p>
            <w:pPr>
              <w:spacing w:line="300" w:lineRule="auto"/>
              <w:jc w:val="center"/>
              <w:rPr>
                <w:rFonts w:ascii="宋体" w:hAnsi="宋体" w:cs="宋体"/>
                <w:sz w:val="24"/>
              </w:rPr>
            </w:pPr>
            <w:r>
              <w:rPr>
                <w:rFonts w:hint="eastAsia" w:ascii="宋体" w:hAnsi="宋体" w:cs="宋体"/>
                <w:sz w:val="24"/>
              </w:rPr>
              <w:t>偏离及其影响</w:t>
            </w:r>
          </w:p>
        </w:tc>
        <w:tc>
          <w:tcPr>
            <w:tcW w:w="1559" w:type="dxa"/>
            <w:vAlign w:val="center"/>
          </w:tcPr>
          <w:p>
            <w:pPr>
              <w:spacing w:line="30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37" w:type="dxa"/>
            <w:vAlign w:val="center"/>
          </w:tcPr>
          <w:p>
            <w:pPr>
              <w:spacing w:line="300" w:lineRule="auto"/>
              <w:jc w:val="center"/>
              <w:rPr>
                <w:rFonts w:ascii="宋体" w:hAnsi="宋体" w:cs="宋体"/>
                <w:sz w:val="24"/>
              </w:rPr>
            </w:pPr>
            <w:r>
              <w:rPr>
                <w:rFonts w:hint="eastAsia" w:ascii="宋体" w:hAnsi="宋体" w:cs="宋体"/>
                <w:sz w:val="24"/>
              </w:rPr>
              <w:t>1</w:t>
            </w:r>
          </w:p>
        </w:tc>
        <w:tc>
          <w:tcPr>
            <w:tcW w:w="2207" w:type="dxa"/>
            <w:vAlign w:val="center"/>
          </w:tcPr>
          <w:p>
            <w:pPr>
              <w:spacing w:line="300" w:lineRule="auto"/>
              <w:jc w:val="center"/>
              <w:rPr>
                <w:rFonts w:ascii="宋体" w:hAnsi="宋体" w:cs="宋体"/>
                <w:sz w:val="24"/>
              </w:rPr>
            </w:pPr>
            <w:r>
              <w:rPr>
                <w:rFonts w:hint="eastAsia" w:ascii="宋体" w:hAnsi="宋体" w:cs="宋体"/>
                <w:sz w:val="24"/>
              </w:rPr>
              <w:t>质量要求</w:t>
            </w:r>
          </w:p>
        </w:tc>
        <w:tc>
          <w:tcPr>
            <w:tcW w:w="1827" w:type="dxa"/>
            <w:vAlign w:val="center"/>
          </w:tcPr>
          <w:p>
            <w:pPr>
              <w:spacing w:line="300" w:lineRule="auto"/>
              <w:jc w:val="center"/>
              <w:rPr>
                <w:rFonts w:ascii="宋体" w:hAnsi="宋体" w:cs="宋体"/>
                <w:sz w:val="24"/>
              </w:rPr>
            </w:pPr>
          </w:p>
        </w:tc>
        <w:tc>
          <w:tcPr>
            <w:tcW w:w="2467" w:type="dxa"/>
            <w:vAlign w:val="center"/>
          </w:tcPr>
          <w:p>
            <w:pPr>
              <w:spacing w:line="300" w:lineRule="auto"/>
              <w:jc w:val="center"/>
              <w:rPr>
                <w:rFonts w:ascii="宋体" w:hAnsi="宋体" w:cs="宋体"/>
                <w:sz w:val="24"/>
              </w:rPr>
            </w:pPr>
          </w:p>
        </w:tc>
        <w:tc>
          <w:tcPr>
            <w:tcW w:w="1559"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37" w:type="dxa"/>
            <w:vAlign w:val="center"/>
          </w:tcPr>
          <w:p>
            <w:pPr>
              <w:spacing w:line="300" w:lineRule="auto"/>
              <w:jc w:val="center"/>
              <w:rPr>
                <w:rFonts w:ascii="宋体" w:hAnsi="宋体" w:cs="宋体"/>
                <w:sz w:val="24"/>
              </w:rPr>
            </w:pPr>
            <w:r>
              <w:rPr>
                <w:rFonts w:hint="eastAsia" w:ascii="宋体" w:hAnsi="宋体" w:cs="宋体"/>
                <w:sz w:val="24"/>
              </w:rPr>
              <w:t>2</w:t>
            </w:r>
          </w:p>
        </w:tc>
        <w:tc>
          <w:tcPr>
            <w:tcW w:w="2207" w:type="dxa"/>
            <w:vAlign w:val="center"/>
          </w:tcPr>
          <w:p>
            <w:pPr>
              <w:spacing w:line="300" w:lineRule="auto"/>
              <w:jc w:val="center"/>
              <w:rPr>
                <w:rFonts w:ascii="宋体" w:hAnsi="宋体" w:cs="宋体"/>
                <w:sz w:val="24"/>
              </w:rPr>
            </w:pPr>
            <w:r>
              <w:rPr>
                <w:rFonts w:hint="eastAsia" w:ascii="宋体" w:hAnsi="宋体" w:cs="宋体"/>
                <w:sz w:val="24"/>
              </w:rPr>
              <w:t>交货(项目完成)时间、地点</w:t>
            </w:r>
          </w:p>
        </w:tc>
        <w:tc>
          <w:tcPr>
            <w:tcW w:w="1827" w:type="dxa"/>
            <w:vAlign w:val="center"/>
          </w:tcPr>
          <w:p>
            <w:pPr>
              <w:spacing w:line="300" w:lineRule="auto"/>
              <w:jc w:val="center"/>
              <w:rPr>
                <w:rFonts w:ascii="宋体" w:hAnsi="宋体" w:cs="宋体"/>
                <w:sz w:val="24"/>
              </w:rPr>
            </w:pPr>
          </w:p>
        </w:tc>
        <w:tc>
          <w:tcPr>
            <w:tcW w:w="2467" w:type="dxa"/>
            <w:vAlign w:val="center"/>
          </w:tcPr>
          <w:p>
            <w:pPr>
              <w:spacing w:line="300" w:lineRule="auto"/>
              <w:jc w:val="center"/>
              <w:rPr>
                <w:rFonts w:ascii="宋体" w:hAnsi="宋体" w:cs="宋体"/>
                <w:sz w:val="24"/>
              </w:rPr>
            </w:pPr>
          </w:p>
        </w:tc>
        <w:tc>
          <w:tcPr>
            <w:tcW w:w="1559"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37" w:type="dxa"/>
            <w:vAlign w:val="center"/>
          </w:tcPr>
          <w:p>
            <w:pPr>
              <w:spacing w:line="300" w:lineRule="auto"/>
              <w:jc w:val="center"/>
              <w:rPr>
                <w:rFonts w:ascii="宋体" w:hAnsi="宋体" w:cs="宋体"/>
                <w:sz w:val="24"/>
              </w:rPr>
            </w:pPr>
            <w:r>
              <w:rPr>
                <w:rFonts w:hint="eastAsia" w:ascii="宋体" w:hAnsi="宋体" w:cs="宋体"/>
                <w:sz w:val="24"/>
              </w:rPr>
              <w:t>3</w:t>
            </w:r>
          </w:p>
        </w:tc>
        <w:tc>
          <w:tcPr>
            <w:tcW w:w="2207" w:type="dxa"/>
            <w:vAlign w:val="center"/>
          </w:tcPr>
          <w:p>
            <w:pPr>
              <w:spacing w:line="300" w:lineRule="auto"/>
              <w:jc w:val="center"/>
              <w:rPr>
                <w:rFonts w:ascii="宋体" w:hAnsi="宋体" w:cs="宋体"/>
                <w:sz w:val="24"/>
              </w:rPr>
            </w:pPr>
            <w:r>
              <w:rPr>
                <w:rFonts w:hint="eastAsia" w:ascii="宋体" w:hAnsi="宋体" w:cs="宋体"/>
                <w:sz w:val="24"/>
              </w:rPr>
              <w:t>验收</w:t>
            </w:r>
          </w:p>
        </w:tc>
        <w:tc>
          <w:tcPr>
            <w:tcW w:w="1827" w:type="dxa"/>
            <w:vAlign w:val="center"/>
          </w:tcPr>
          <w:p>
            <w:pPr>
              <w:spacing w:line="300" w:lineRule="auto"/>
              <w:jc w:val="center"/>
              <w:rPr>
                <w:rFonts w:ascii="宋体" w:hAnsi="宋体" w:cs="宋体"/>
                <w:sz w:val="24"/>
              </w:rPr>
            </w:pPr>
          </w:p>
        </w:tc>
        <w:tc>
          <w:tcPr>
            <w:tcW w:w="2467" w:type="dxa"/>
            <w:vAlign w:val="center"/>
          </w:tcPr>
          <w:p>
            <w:pPr>
              <w:spacing w:line="300" w:lineRule="auto"/>
              <w:jc w:val="center"/>
              <w:rPr>
                <w:rFonts w:ascii="宋体" w:hAnsi="宋体" w:cs="宋体"/>
                <w:sz w:val="24"/>
              </w:rPr>
            </w:pPr>
          </w:p>
        </w:tc>
        <w:tc>
          <w:tcPr>
            <w:tcW w:w="1559"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37" w:type="dxa"/>
            <w:vAlign w:val="center"/>
          </w:tcPr>
          <w:p>
            <w:pPr>
              <w:spacing w:line="300" w:lineRule="auto"/>
              <w:jc w:val="center"/>
              <w:rPr>
                <w:rFonts w:ascii="宋体" w:hAnsi="宋体" w:cs="宋体"/>
                <w:sz w:val="24"/>
              </w:rPr>
            </w:pPr>
            <w:r>
              <w:rPr>
                <w:rFonts w:hint="eastAsia" w:ascii="宋体" w:hAnsi="宋体" w:cs="宋体"/>
                <w:sz w:val="24"/>
              </w:rPr>
              <w:t>4</w:t>
            </w:r>
          </w:p>
        </w:tc>
        <w:tc>
          <w:tcPr>
            <w:tcW w:w="2207" w:type="dxa"/>
            <w:vAlign w:val="center"/>
          </w:tcPr>
          <w:p>
            <w:pPr>
              <w:spacing w:line="300" w:lineRule="auto"/>
              <w:jc w:val="center"/>
              <w:rPr>
                <w:rFonts w:ascii="宋体" w:hAnsi="宋体" w:cs="宋体"/>
                <w:sz w:val="24"/>
              </w:rPr>
            </w:pPr>
            <w:r>
              <w:rPr>
                <w:rFonts w:hint="eastAsia" w:ascii="宋体" w:hAnsi="宋体" w:cs="宋体"/>
                <w:sz w:val="24"/>
              </w:rPr>
              <w:t>付款方式</w:t>
            </w:r>
          </w:p>
        </w:tc>
        <w:tc>
          <w:tcPr>
            <w:tcW w:w="1827" w:type="dxa"/>
            <w:vAlign w:val="center"/>
          </w:tcPr>
          <w:p>
            <w:pPr>
              <w:spacing w:line="300" w:lineRule="auto"/>
              <w:jc w:val="center"/>
              <w:rPr>
                <w:rFonts w:ascii="宋体" w:hAnsi="宋体" w:cs="宋体"/>
                <w:sz w:val="24"/>
              </w:rPr>
            </w:pPr>
          </w:p>
        </w:tc>
        <w:tc>
          <w:tcPr>
            <w:tcW w:w="2467" w:type="dxa"/>
            <w:vAlign w:val="center"/>
          </w:tcPr>
          <w:p>
            <w:pPr>
              <w:spacing w:line="300" w:lineRule="auto"/>
              <w:jc w:val="center"/>
              <w:rPr>
                <w:rFonts w:ascii="宋体" w:hAnsi="宋体" w:cs="宋体"/>
                <w:sz w:val="24"/>
              </w:rPr>
            </w:pPr>
          </w:p>
        </w:tc>
        <w:tc>
          <w:tcPr>
            <w:tcW w:w="1559"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37" w:type="dxa"/>
            <w:vAlign w:val="center"/>
          </w:tcPr>
          <w:p>
            <w:pPr>
              <w:spacing w:line="300" w:lineRule="auto"/>
              <w:jc w:val="center"/>
              <w:rPr>
                <w:rFonts w:ascii="宋体" w:hAnsi="宋体" w:cs="宋体"/>
                <w:sz w:val="24"/>
              </w:rPr>
            </w:pPr>
            <w:r>
              <w:rPr>
                <w:rFonts w:hint="eastAsia" w:ascii="宋体" w:hAnsi="宋体" w:cs="宋体"/>
                <w:sz w:val="24"/>
              </w:rPr>
              <w:t>5</w:t>
            </w:r>
          </w:p>
        </w:tc>
        <w:tc>
          <w:tcPr>
            <w:tcW w:w="2207" w:type="dxa"/>
            <w:vAlign w:val="center"/>
          </w:tcPr>
          <w:p>
            <w:pPr>
              <w:spacing w:line="300" w:lineRule="auto"/>
              <w:jc w:val="center"/>
              <w:rPr>
                <w:rFonts w:ascii="宋体" w:hAnsi="宋体" w:cs="宋体"/>
                <w:sz w:val="24"/>
              </w:rPr>
            </w:pPr>
            <w:r>
              <w:rPr>
                <w:rFonts w:hint="eastAsia" w:ascii="宋体" w:hAnsi="宋体" w:cs="宋体"/>
                <w:sz w:val="24"/>
              </w:rPr>
              <w:t>履约和服务能力</w:t>
            </w:r>
          </w:p>
        </w:tc>
        <w:tc>
          <w:tcPr>
            <w:tcW w:w="1827" w:type="dxa"/>
            <w:vAlign w:val="center"/>
          </w:tcPr>
          <w:p>
            <w:pPr>
              <w:spacing w:line="300" w:lineRule="auto"/>
              <w:jc w:val="center"/>
              <w:rPr>
                <w:rFonts w:ascii="宋体" w:hAnsi="宋体" w:cs="宋体"/>
                <w:sz w:val="24"/>
              </w:rPr>
            </w:pPr>
          </w:p>
        </w:tc>
        <w:tc>
          <w:tcPr>
            <w:tcW w:w="2467" w:type="dxa"/>
            <w:vAlign w:val="center"/>
          </w:tcPr>
          <w:p>
            <w:pPr>
              <w:spacing w:line="300" w:lineRule="auto"/>
              <w:jc w:val="center"/>
              <w:rPr>
                <w:rFonts w:ascii="宋体" w:hAnsi="宋体" w:cs="宋体"/>
                <w:sz w:val="24"/>
              </w:rPr>
            </w:pPr>
          </w:p>
        </w:tc>
        <w:tc>
          <w:tcPr>
            <w:tcW w:w="1559"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37" w:type="dxa"/>
            <w:vAlign w:val="center"/>
          </w:tcPr>
          <w:p>
            <w:pPr>
              <w:spacing w:line="300" w:lineRule="auto"/>
              <w:jc w:val="center"/>
              <w:rPr>
                <w:rFonts w:ascii="宋体" w:hAnsi="宋体" w:cs="宋体"/>
                <w:sz w:val="24"/>
              </w:rPr>
            </w:pPr>
            <w:r>
              <w:rPr>
                <w:rFonts w:hint="eastAsia" w:ascii="宋体" w:hAnsi="宋体" w:cs="宋体"/>
                <w:sz w:val="24"/>
              </w:rPr>
              <w:t>6</w:t>
            </w:r>
          </w:p>
        </w:tc>
        <w:tc>
          <w:tcPr>
            <w:tcW w:w="2207" w:type="dxa"/>
            <w:vAlign w:val="center"/>
          </w:tcPr>
          <w:p>
            <w:pPr>
              <w:spacing w:line="300" w:lineRule="auto"/>
              <w:jc w:val="center"/>
              <w:rPr>
                <w:rFonts w:ascii="宋体" w:hAnsi="宋体" w:cs="宋体"/>
                <w:sz w:val="24"/>
              </w:rPr>
            </w:pPr>
            <w:r>
              <w:rPr>
                <w:rFonts w:hint="eastAsia" w:ascii="宋体" w:hAnsi="宋体" w:cs="宋体"/>
                <w:sz w:val="24"/>
              </w:rPr>
              <w:t>其他</w:t>
            </w:r>
          </w:p>
        </w:tc>
        <w:tc>
          <w:tcPr>
            <w:tcW w:w="1827" w:type="dxa"/>
            <w:vAlign w:val="center"/>
          </w:tcPr>
          <w:p>
            <w:pPr>
              <w:spacing w:line="300" w:lineRule="auto"/>
              <w:jc w:val="center"/>
              <w:rPr>
                <w:rFonts w:ascii="宋体" w:hAnsi="宋体" w:cs="宋体"/>
                <w:sz w:val="24"/>
              </w:rPr>
            </w:pPr>
          </w:p>
        </w:tc>
        <w:tc>
          <w:tcPr>
            <w:tcW w:w="2467" w:type="dxa"/>
            <w:vAlign w:val="center"/>
          </w:tcPr>
          <w:p>
            <w:pPr>
              <w:spacing w:line="300" w:lineRule="auto"/>
              <w:jc w:val="center"/>
              <w:rPr>
                <w:rFonts w:ascii="宋体" w:hAnsi="宋体" w:cs="宋体"/>
                <w:sz w:val="24"/>
              </w:rPr>
            </w:pPr>
          </w:p>
        </w:tc>
        <w:tc>
          <w:tcPr>
            <w:tcW w:w="1559"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37" w:type="dxa"/>
            <w:vAlign w:val="center"/>
          </w:tcPr>
          <w:p>
            <w:pPr>
              <w:spacing w:line="300" w:lineRule="auto"/>
              <w:jc w:val="center"/>
              <w:rPr>
                <w:rFonts w:ascii="宋体" w:hAnsi="宋体" w:cs="宋体"/>
                <w:sz w:val="24"/>
              </w:rPr>
            </w:pPr>
            <w:r>
              <w:rPr>
                <w:rFonts w:hint="eastAsia" w:ascii="宋体" w:hAnsi="宋体" w:cs="宋体"/>
                <w:sz w:val="24"/>
              </w:rPr>
              <w:t>7</w:t>
            </w:r>
          </w:p>
        </w:tc>
        <w:tc>
          <w:tcPr>
            <w:tcW w:w="2207" w:type="dxa"/>
            <w:vAlign w:val="center"/>
          </w:tcPr>
          <w:p>
            <w:pPr>
              <w:spacing w:line="300" w:lineRule="auto"/>
              <w:jc w:val="center"/>
              <w:rPr>
                <w:rFonts w:ascii="宋体" w:hAnsi="宋体" w:cs="宋体"/>
                <w:sz w:val="24"/>
              </w:rPr>
            </w:pPr>
          </w:p>
        </w:tc>
        <w:tc>
          <w:tcPr>
            <w:tcW w:w="1827" w:type="dxa"/>
            <w:vAlign w:val="center"/>
          </w:tcPr>
          <w:p>
            <w:pPr>
              <w:spacing w:line="300" w:lineRule="auto"/>
              <w:jc w:val="center"/>
              <w:rPr>
                <w:rFonts w:ascii="宋体" w:hAnsi="宋体" w:cs="宋体"/>
                <w:sz w:val="24"/>
              </w:rPr>
            </w:pPr>
          </w:p>
        </w:tc>
        <w:tc>
          <w:tcPr>
            <w:tcW w:w="2467" w:type="dxa"/>
            <w:vAlign w:val="center"/>
          </w:tcPr>
          <w:p>
            <w:pPr>
              <w:spacing w:line="300" w:lineRule="auto"/>
              <w:jc w:val="center"/>
              <w:rPr>
                <w:rFonts w:ascii="宋体" w:hAnsi="宋体" w:cs="宋体"/>
                <w:sz w:val="24"/>
              </w:rPr>
            </w:pPr>
          </w:p>
        </w:tc>
        <w:tc>
          <w:tcPr>
            <w:tcW w:w="1559"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37" w:type="dxa"/>
            <w:vAlign w:val="center"/>
          </w:tcPr>
          <w:p>
            <w:pPr>
              <w:spacing w:line="300" w:lineRule="auto"/>
              <w:jc w:val="center"/>
              <w:rPr>
                <w:rFonts w:ascii="宋体" w:hAnsi="宋体" w:cs="宋体"/>
                <w:sz w:val="24"/>
              </w:rPr>
            </w:pPr>
            <w:r>
              <w:rPr>
                <w:rFonts w:hint="eastAsia" w:ascii="宋体" w:hAnsi="宋体" w:cs="宋体"/>
                <w:sz w:val="24"/>
              </w:rPr>
              <w:t>8</w:t>
            </w:r>
          </w:p>
        </w:tc>
        <w:tc>
          <w:tcPr>
            <w:tcW w:w="2207" w:type="dxa"/>
            <w:vAlign w:val="center"/>
          </w:tcPr>
          <w:p>
            <w:pPr>
              <w:spacing w:line="300" w:lineRule="auto"/>
              <w:jc w:val="center"/>
              <w:rPr>
                <w:rFonts w:ascii="宋体" w:hAnsi="宋体" w:cs="宋体"/>
                <w:sz w:val="24"/>
              </w:rPr>
            </w:pPr>
          </w:p>
        </w:tc>
        <w:tc>
          <w:tcPr>
            <w:tcW w:w="1827" w:type="dxa"/>
            <w:vAlign w:val="center"/>
          </w:tcPr>
          <w:p>
            <w:pPr>
              <w:spacing w:line="300" w:lineRule="auto"/>
              <w:jc w:val="center"/>
              <w:rPr>
                <w:rFonts w:ascii="宋体" w:hAnsi="宋体" w:cs="宋体"/>
                <w:sz w:val="24"/>
              </w:rPr>
            </w:pPr>
          </w:p>
        </w:tc>
        <w:tc>
          <w:tcPr>
            <w:tcW w:w="2467" w:type="dxa"/>
            <w:vAlign w:val="center"/>
          </w:tcPr>
          <w:p>
            <w:pPr>
              <w:spacing w:line="300" w:lineRule="auto"/>
              <w:jc w:val="center"/>
              <w:rPr>
                <w:rFonts w:ascii="宋体" w:hAnsi="宋体" w:cs="宋体"/>
                <w:sz w:val="24"/>
              </w:rPr>
            </w:pPr>
          </w:p>
        </w:tc>
        <w:tc>
          <w:tcPr>
            <w:tcW w:w="1559"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37" w:type="dxa"/>
            <w:vAlign w:val="center"/>
          </w:tcPr>
          <w:p>
            <w:pPr>
              <w:spacing w:line="300" w:lineRule="auto"/>
              <w:jc w:val="center"/>
              <w:rPr>
                <w:rFonts w:ascii="宋体" w:hAnsi="宋体" w:cs="宋体"/>
                <w:sz w:val="24"/>
              </w:rPr>
            </w:pPr>
            <w:r>
              <w:rPr>
                <w:rFonts w:hint="eastAsia" w:ascii="宋体" w:hAnsi="宋体" w:cs="宋体"/>
                <w:sz w:val="24"/>
              </w:rPr>
              <w:t>9</w:t>
            </w:r>
          </w:p>
        </w:tc>
        <w:tc>
          <w:tcPr>
            <w:tcW w:w="2207" w:type="dxa"/>
            <w:vAlign w:val="center"/>
          </w:tcPr>
          <w:p>
            <w:pPr>
              <w:spacing w:line="300" w:lineRule="auto"/>
              <w:jc w:val="center"/>
              <w:rPr>
                <w:rFonts w:ascii="宋体" w:hAnsi="宋体" w:cs="宋体"/>
                <w:sz w:val="24"/>
              </w:rPr>
            </w:pPr>
          </w:p>
        </w:tc>
        <w:tc>
          <w:tcPr>
            <w:tcW w:w="1827" w:type="dxa"/>
            <w:vAlign w:val="center"/>
          </w:tcPr>
          <w:p>
            <w:pPr>
              <w:spacing w:line="300" w:lineRule="auto"/>
              <w:jc w:val="center"/>
              <w:rPr>
                <w:rFonts w:ascii="宋体" w:hAnsi="宋体" w:cs="宋体"/>
                <w:sz w:val="24"/>
              </w:rPr>
            </w:pPr>
          </w:p>
        </w:tc>
        <w:tc>
          <w:tcPr>
            <w:tcW w:w="2467" w:type="dxa"/>
            <w:vAlign w:val="center"/>
          </w:tcPr>
          <w:p>
            <w:pPr>
              <w:spacing w:line="300" w:lineRule="auto"/>
              <w:jc w:val="center"/>
              <w:rPr>
                <w:rFonts w:ascii="宋体" w:hAnsi="宋体" w:cs="宋体"/>
                <w:sz w:val="24"/>
              </w:rPr>
            </w:pPr>
          </w:p>
        </w:tc>
        <w:tc>
          <w:tcPr>
            <w:tcW w:w="1559" w:type="dxa"/>
            <w:vAlign w:val="center"/>
          </w:tcPr>
          <w:p>
            <w:pPr>
              <w:spacing w:line="300" w:lineRule="auto"/>
              <w:jc w:val="center"/>
              <w:rPr>
                <w:rFonts w:ascii="宋体" w:hAnsi="宋体" w:cs="宋体"/>
                <w:sz w:val="24"/>
              </w:rPr>
            </w:pPr>
          </w:p>
        </w:tc>
      </w:tr>
    </w:tbl>
    <w:p>
      <w:pPr>
        <w:pStyle w:val="14"/>
        <w:spacing w:line="300" w:lineRule="auto"/>
        <w:ind w:firstLine="0" w:firstLineChars="0"/>
        <w:jc w:val="right"/>
        <w:rPr>
          <w:rFonts w:ascii="宋体" w:hAnsi="宋体"/>
          <w:sz w:val="24"/>
        </w:rPr>
      </w:pPr>
    </w:p>
    <w:p>
      <w:pPr>
        <w:spacing w:line="500" w:lineRule="exact"/>
        <w:jc w:val="left"/>
        <w:rPr>
          <w:rFonts w:ascii="宋体" w:hAnsi="宋体"/>
          <w:sz w:val="24"/>
        </w:rPr>
      </w:pPr>
      <w:r>
        <w:rPr>
          <w:rFonts w:hint="eastAsia" w:ascii="宋体" w:hAnsi="宋体"/>
          <w:sz w:val="24"/>
        </w:rPr>
        <w:t>供应商全称：</w:t>
      </w:r>
      <w:r>
        <w:rPr>
          <w:rFonts w:hint="eastAsia" w:ascii="宋体" w:hAnsi="宋体"/>
          <w:sz w:val="24"/>
          <w:u w:val="single"/>
        </w:rPr>
        <w:t>　　　</w:t>
      </w:r>
      <w:r>
        <w:rPr>
          <w:rFonts w:ascii="宋体" w:hAnsi="宋体"/>
          <w:sz w:val="24"/>
          <w:u w:val="single"/>
        </w:rPr>
        <w:t xml:space="preserve">              </w:t>
      </w:r>
      <w:r>
        <w:rPr>
          <w:rFonts w:hint="eastAsia" w:ascii="宋体" w:hAnsi="宋体"/>
          <w:sz w:val="24"/>
          <w:u w:val="single"/>
        </w:rPr>
        <w:t>（盖单位公章）</w:t>
      </w:r>
    </w:p>
    <w:p>
      <w:pPr>
        <w:spacing w:line="500" w:lineRule="exact"/>
        <w:jc w:val="left"/>
        <w:rPr>
          <w:rFonts w:ascii="宋体" w:hAnsi="宋体"/>
          <w:sz w:val="24"/>
          <w:u w:val="single"/>
        </w:rPr>
      </w:pPr>
      <w:r>
        <w:rPr>
          <w:rFonts w:hint="eastAsia" w:ascii="宋体" w:hAnsi="宋体"/>
          <w:sz w:val="24"/>
        </w:rPr>
        <w:t>法定代表人（负责人）或授权代表：</w:t>
      </w:r>
      <w:r>
        <w:rPr>
          <w:rFonts w:hint="eastAsia" w:ascii="宋体" w:hAnsi="宋体"/>
          <w:sz w:val="24"/>
          <w:u w:val="single"/>
        </w:rPr>
        <w:t>　　　　　　　　　　　　　　（签字）</w:t>
      </w:r>
    </w:p>
    <w:p>
      <w:pPr>
        <w:spacing w:line="500" w:lineRule="exact"/>
        <w:jc w:val="left"/>
        <w:rPr>
          <w:rFonts w:ascii="宋体" w:hAnsi="宋体"/>
          <w:sz w:val="24"/>
        </w:rPr>
      </w:pPr>
      <w:r>
        <w:rPr>
          <w:rFonts w:hint="eastAsia" w:ascii="宋体" w:hAnsi="宋体"/>
          <w:sz w:val="24"/>
        </w:rPr>
        <w:t>日期：</w:t>
      </w:r>
      <w:r>
        <w:rPr>
          <w:rFonts w:hint="eastAsia" w:ascii="宋体" w:hAnsi="宋体"/>
          <w:sz w:val="24"/>
          <w:u w:val="single"/>
        </w:rPr>
        <w:t>　　　　　年　　　月　　　　日</w:t>
      </w:r>
    </w:p>
    <w:p>
      <w:pPr>
        <w:spacing w:line="300" w:lineRule="auto"/>
        <w:rPr>
          <w:rFonts w:ascii="宋体" w:hAnsi="宋体"/>
          <w:b/>
          <w:bCs/>
          <w:color w:val="FF0000"/>
          <w:szCs w:val="21"/>
        </w:rPr>
      </w:pPr>
    </w:p>
    <w:p>
      <w:pPr>
        <w:pStyle w:val="444"/>
        <w:ind w:firstLine="464"/>
      </w:pPr>
    </w:p>
    <w:p>
      <w:pPr>
        <w:spacing w:line="300" w:lineRule="auto"/>
        <w:rPr>
          <w:rFonts w:ascii="宋体" w:hAnsi="宋体"/>
          <w:b/>
          <w:bCs/>
          <w:color w:val="FF0000"/>
          <w:szCs w:val="21"/>
        </w:rPr>
      </w:pPr>
      <w:r>
        <w:rPr>
          <w:rFonts w:hint="eastAsia" w:ascii="宋体" w:hAnsi="宋体"/>
          <w:b/>
          <w:bCs/>
          <w:color w:val="FF0000"/>
          <w:szCs w:val="21"/>
        </w:rPr>
        <w:t>提示：</w:t>
      </w:r>
    </w:p>
    <w:p>
      <w:pPr>
        <w:widowControl/>
        <w:spacing w:line="360" w:lineRule="atLeast"/>
        <w:ind w:firstLine="310" w:firstLineChars="147"/>
        <w:rPr>
          <w:rFonts w:ascii="宋体" w:hAnsi="宋体"/>
          <w:color w:val="000000"/>
          <w:sz w:val="24"/>
        </w:rPr>
      </w:pPr>
      <w:r>
        <w:rPr>
          <w:rFonts w:hint="eastAsia" w:ascii="宋体" w:hAnsi="宋体"/>
          <w:b/>
          <w:bCs/>
          <w:color w:val="FF0000"/>
          <w:szCs w:val="21"/>
        </w:rPr>
        <w:t>可用本表格式，也可自拟格式。上表中的内容应不少于本文件第六章　采购需求 中的内容。若本文件中无上表中相关内容的描述，供应商可不在本表中作出应答，否则将可能作为无效响应文件。（实质性要求）</w:t>
      </w:r>
    </w:p>
    <w:p>
      <w:pPr>
        <w:spacing w:line="360" w:lineRule="auto"/>
        <w:ind w:firstLine="600" w:firstLineChars="250"/>
        <w:rPr>
          <w:rFonts w:ascii="宋体" w:hAnsi="宋体"/>
          <w:color w:val="000000"/>
          <w:sz w:val="24"/>
        </w:rPr>
      </w:pPr>
      <w:r>
        <w:rPr>
          <w:rFonts w:ascii="宋体" w:hAnsi="宋体"/>
          <w:color w:val="000000"/>
          <w:sz w:val="24"/>
        </w:rPr>
        <w:br w:type="page"/>
      </w:r>
    </w:p>
    <w:p>
      <w:pPr>
        <w:pStyle w:val="5"/>
        <w:spacing w:line="360" w:lineRule="auto"/>
        <w:rPr>
          <w:rFonts w:ascii="宋体" w:hAnsi="宋体" w:cs="宋体"/>
          <w:sz w:val="28"/>
          <w:szCs w:val="28"/>
        </w:rPr>
      </w:pPr>
      <w:bookmarkStart w:id="175" w:name="_Toc112257067"/>
      <w:r>
        <w:rPr>
          <w:rFonts w:hint="eastAsia" w:ascii="宋体" w:hAnsi="宋体" w:cs="宋体"/>
          <w:sz w:val="28"/>
          <w:szCs w:val="28"/>
        </w:rPr>
        <w:t>五、</w:t>
      </w:r>
      <w:bookmarkEnd w:id="167"/>
      <w:bookmarkEnd w:id="168"/>
      <w:bookmarkEnd w:id="169"/>
      <w:bookmarkEnd w:id="170"/>
      <w:r>
        <w:rPr>
          <w:rFonts w:hint="eastAsia" w:ascii="宋体" w:hAnsi="宋体" w:cs="宋体"/>
          <w:sz w:val="28"/>
          <w:szCs w:val="28"/>
        </w:rPr>
        <w:t>磋商文件要求提供的其他文件或资料</w:t>
      </w:r>
      <w:bookmarkEnd w:id="175"/>
      <w:bookmarkStart w:id="176" w:name="_Toc518487371"/>
    </w:p>
    <w:p>
      <w:pPr>
        <w:spacing w:line="360" w:lineRule="auto"/>
        <w:rPr>
          <w:rFonts w:ascii="宋体" w:hAnsi="宋体"/>
          <w:color w:val="FF0000"/>
          <w:sz w:val="24"/>
        </w:rPr>
      </w:pPr>
      <w:r>
        <w:rPr>
          <w:rFonts w:hint="eastAsia" w:ascii="宋体" w:hAnsi="宋体"/>
          <w:color w:val="FF0000"/>
          <w:sz w:val="24"/>
        </w:rPr>
        <w:t>包括但不限于对除本文件“技术服务部分”中上述要求内容以外的内容作出响应，请结合本磋商文件的要求作出的响应或提供佐证材料（要求提供提供佐证材料必须提供）。</w:t>
      </w:r>
    </w:p>
    <w:p>
      <w:pPr>
        <w:pStyle w:val="5"/>
        <w:spacing w:line="360" w:lineRule="auto"/>
        <w:rPr>
          <w:rFonts w:ascii="宋体" w:hAnsi="宋体" w:cs="宋体"/>
          <w:sz w:val="28"/>
          <w:szCs w:val="28"/>
        </w:rPr>
      </w:pPr>
      <w:bookmarkStart w:id="177" w:name="_Toc112257068"/>
      <w:r>
        <w:rPr>
          <w:rFonts w:hint="eastAsia" w:ascii="宋体" w:hAnsi="宋体" w:cs="宋体"/>
          <w:sz w:val="28"/>
          <w:szCs w:val="28"/>
        </w:rPr>
        <w:t>六、供应商认为有必要提供的文件或资料</w:t>
      </w:r>
      <w:bookmarkEnd w:id="176"/>
      <w:bookmarkEnd w:id="177"/>
    </w:p>
    <w:p>
      <w:pPr>
        <w:adjustRightInd w:val="0"/>
        <w:snapToGrid w:val="0"/>
        <w:spacing w:line="360" w:lineRule="auto"/>
        <w:ind w:right="160" w:rightChars="76" w:firstLine="422" w:firstLineChars="200"/>
        <w:rPr>
          <w:rFonts w:ascii="宋体" w:hAnsi="宋体"/>
          <w:b/>
          <w:color w:val="FF0000"/>
          <w:szCs w:val="20"/>
        </w:rPr>
      </w:pPr>
    </w:p>
    <w:p>
      <w:pPr>
        <w:pStyle w:val="14"/>
        <w:spacing w:line="360" w:lineRule="auto"/>
        <w:ind w:firstLine="0" w:firstLineChars="0"/>
        <w:rPr>
          <w:rFonts w:ascii="宋体" w:hAnsi="宋体"/>
          <w:color w:val="000000"/>
          <w:sz w:val="28"/>
          <w:szCs w:val="28"/>
        </w:rPr>
      </w:pPr>
    </w:p>
    <w:p>
      <w:pPr>
        <w:pStyle w:val="14"/>
        <w:spacing w:line="360" w:lineRule="auto"/>
        <w:ind w:firstLine="0" w:firstLineChars="0"/>
        <w:rPr>
          <w:rFonts w:ascii="宋体" w:hAnsi="宋体"/>
          <w:color w:val="000000"/>
          <w:sz w:val="28"/>
          <w:szCs w:val="28"/>
        </w:rPr>
      </w:pPr>
    </w:p>
    <w:p>
      <w:pPr>
        <w:pStyle w:val="14"/>
        <w:spacing w:line="360" w:lineRule="auto"/>
        <w:ind w:firstLine="0" w:firstLineChars="0"/>
        <w:rPr>
          <w:rFonts w:ascii="宋体" w:hAnsi="宋体"/>
          <w:color w:val="000000"/>
          <w:sz w:val="28"/>
          <w:szCs w:val="28"/>
        </w:rPr>
      </w:pPr>
    </w:p>
    <w:p>
      <w:pPr>
        <w:pStyle w:val="14"/>
        <w:spacing w:line="360" w:lineRule="auto"/>
        <w:ind w:firstLine="0" w:firstLineChars="0"/>
        <w:rPr>
          <w:rFonts w:ascii="宋体" w:hAnsi="宋体"/>
          <w:color w:val="000000"/>
          <w:sz w:val="28"/>
          <w:szCs w:val="28"/>
        </w:rPr>
      </w:pPr>
    </w:p>
    <w:p>
      <w:pPr>
        <w:pStyle w:val="14"/>
        <w:spacing w:line="360" w:lineRule="auto"/>
        <w:ind w:firstLine="0" w:firstLineChars="0"/>
        <w:rPr>
          <w:rFonts w:ascii="宋体" w:hAnsi="宋体"/>
          <w:color w:val="000000"/>
          <w:sz w:val="28"/>
          <w:szCs w:val="28"/>
        </w:rPr>
      </w:pPr>
    </w:p>
    <w:p>
      <w:pPr>
        <w:pStyle w:val="14"/>
        <w:spacing w:line="360" w:lineRule="auto"/>
        <w:ind w:firstLine="0" w:firstLineChars="0"/>
        <w:rPr>
          <w:rFonts w:ascii="宋体" w:hAnsi="宋体"/>
          <w:color w:val="000000"/>
          <w:sz w:val="28"/>
          <w:szCs w:val="28"/>
        </w:rPr>
      </w:pPr>
    </w:p>
    <w:p>
      <w:pPr>
        <w:pStyle w:val="14"/>
        <w:spacing w:line="360" w:lineRule="auto"/>
        <w:ind w:firstLine="0" w:firstLineChars="0"/>
        <w:rPr>
          <w:rFonts w:ascii="宋体" w:hAnsi="宋体"/>
          <w:color w:val="000000"/>
          <w:sz w:val="28"/>
          <w:szCs w:val="28"/>
        </w:rPr>
      </w:pPr>
    </w:p>
    <w:p>
      <w:pPr>
        <w:pStyle w:val="14"/>
        <w:spacing w:line="360" w:lineRule="auto"/>
        <w:ind w:firstLine="0" w:firstLineChars="0"/>
        <w:rPr>
          <w:rFonts w:ascii="宋体" w:hAnsi="宋体"/>
          <w:color w:val="000000"/>
          <w:sz w:val="28"/>
          <w:szCs w:val="28"/>
        </w:rPr>
      </w:pPr>
    </w:p>
    <w:p>
      <w:pPr>
        <w:pStyle w:val="14"/>
        <w:spacing w:line="360" w:lineRule="auto"/>
        <w:ind w:firstLine="0" w:firstLineChars="0"/>
        <w:rPr>
          <w:rFonts w:ascii="宋体" w:hAnsi="宋体"/>
          <w:color w:val="000000"/>
          <w:sz w:val="28"/>
          <w:szCs w:val="28"/>
        </w:rPr>
      </w:pPr>
    </w:p>
    <w:p>
      <w:pPr>
        <w:pStyle w:val="14"/>
        <w:spacing w:line="360" w:lineRule="auto"/>
        <w:ind w:firstLine="0" w:firstLineChars="0"/>
        <w:rPr>
          <w:rFonts w:ascii="宋体" w:hAnsi="宋体"/>
          <w:color w:val="000000"/>
          <w:sz w:val="28"/>
          <w:szCs w:val="28"/>
        </w:rPr>
      </w:pPr>
    </w:p>
    <w:p>
      <w:pPr>
        <w:pStyle w:val="14"/>
        <w:spacing w:line="360" w:lineRule="auto"/>
        <w:ind w:firstLine="0" w:firstLineChars="0"/>
        <w:rPr>
          <w:rFonts w:ascii="宋体" w:hAnsi="宋体"/>
          <w:color w:val="000000"/>
          <w:sz w:val="28"/>
          <w:szCs w:val="28"/>
        </w:rPr>
      </w:pPr>
    </w:p>
    <w:p>
      <w:pPr>
        <w:pStyle w:val="14"/>
        <w:spacing w:line="360" w:lineRule="auto"/>
        <w:ind w:firstLine="0" w:firstLineChars="0"/>
        <w:rPr>
          <w:rFonts w:ascii="宋体" w:hAnsi="宋体"/>
          <w:color w:val="000000"/>
          <w:sz w:val="28"/>
          <w:szCs w:val="28"/>
        </w:rPr>
      </w:pPr>
    </w:p>
    <w:p>
      <w:pPr>
        <w:pStyle w:val="14"/>
        <w:spacing w:line="360" w:lineRule="auto"/>
        <w:ind w:firstLine="0" w:firstLineChars="0"/>
        <w:rPr>
          <w:rFonts w:ascii="宋体" w:hAnsi="宋体"/>
          <w:color w:val="000000"/>
          <w:sz w:val="28"/>
          <w:szCs w:val="28"/>
        </w:rPr>
      </w:pPr>
    </w:p>
    <w:p>
      <w:pPr>
        <w:spacing w:line="780" w:lineRule="exact"/>
        <w:jc w:val="right"/>
        <w:rPr>
          <w:rFonts w:ascii="宋体" w:hAnsi="宋体"/>
          <w:b/>
          <w:sz w:val="32"/>
          <w:szCs w:val="52"/>
        </w:rPr>
      </w:pPr>
      <w:r>
        <w:rPr>
          <w:rFonts w:ascii="宋体" w:hAnsi="宋体"/>
          <w:color w:val="000000"/>
          <w:sz w:val="28"/>
          <w:szCs w:val="28"/>
        </w:rPr>
        <w:br w:type="page"/>
      </w:r>
      <w:r>
        <w:rPr>
          <w:rFonts w:hint="eastAsia" w:ascii="宋体" w:hAnsi="宋体"/>
          <w:sz w:val="24"/>
        </w:rPr>
        <w:t>封面格式</w:t>
      </w:r>
      <w:r>
        <w:rPr>
          <w:rFonts w:hint="eastAsia" w:ascii="宋体" w:hAnsi="宋体"/>
          <w:b/>
          <w:sz w:val="32"/>
          <w:szCs w:val="52"/>
        </w:rPr>
        <w:t>〔正本/副本〕</w:t>
      </w:r>
    </w:p>
    <w:p>
      <w:pPr>
        <w:spacing w:line="360" w:lineRule="auto"/>
        <w:rPr>
          <w:rFonts w:ascii="宋体" w:hAnsi="宋体"/>
          <w:sz w:val="24"/>
        </w:rPr>
      </w:pPr>
    </w:p>
    <w:p>
      <w:pPr>
        <w:spacing w:line="360" w:lineRule="auto"/>
        <w:jc w:val="center"/>
        <w:rPr>
          <w:rFonts w:ascii="宋体" w:hAnsi="宋体"/>
          <w:b/>
          <w:sz w:val="52"/>
          <w:szCs w:val="52"/>
        </w:rPr>
      </w:pPr>
    </w:p>
    <w:p>
      <w:pPr>
        <w:spacing w:line="360" w:lineRule="auto"/>
        <w:jc w:val="center"/>
        <w:rPr>
          <w:rFonts w:ascii="宋体" w:hAnsi="宋体"/>
          <w:b/>
          <w:sz w:val="52"/>
          <w:szCs w:val="52"/>
        </w:rPr>
      </w:pPr>
      <w:r>
        <w:rPr>
          <w:rFonts w:hint="eastAsia" w:ascii="宋体" w:hAnsi="宋体"/>
          <w:b/>
          <w:sz w:val="52"/>
          <w:szCs w:val="52"/>
        </w:rPr>
        <w:t>***采购项目</w:t>
      </w:r>
    </w:p>
    <w:p>
      <w:pPr>
        <w:spacing w:line="360" w:lineRule="auto"/>
        <w:ind w:firstLine="1560" w:firstLineChars="300"/>
        <w:jc w:val="right"/>
        <w:rPr>
          <w:rFonts w:ascii="宋体" w:hAnsi="宋体"/>
          <w:sz w:val="52"/>
          <w:szCs w:val="52"/>
        </w:rPr>
      </w:pPr>
    </w:p>
    <w:p>
      <w:pPr>
        <w:spacing w:line="360" w:lineRule="auto"/>
        <w:ind w:firstLine="1560" w:firstLineChars="300"/>
        <w:rPr>
          <w:rFonts w:ascii="宋体" w:hAnsi="宋体"/>
          <w:sz w:val="52"/>
          <w:szCs w:val="52"/>
        </w:rPr>
      </w:pPr>
    </w:p>
    <w:p>
      <w:pPr>
        <w:pStyle w:val="5"/>
        <w:rPr>
          <w:rFonts w:ascii="宋体" w:hAnsi="宋体"/>
        </w:rPr>
      </w:pPr>
      <w:bookmarkStart w:id="178" w:name="_Toc112257069"/>
      <w:r>
        <w:rPr>
          <w:rFonts w:hint="eastAsia" w:ascii="宋体" w:hAnsi="宋体"/>
        </w:rPr>
        <w:t>报价部分</w:t>
      </w:r>
      <w:bookmarkEnd w:id="178"/>
    </w:p>
    <w:p>
      <w:pPr>
        <w:spacing w:line="360" w:lineRule="auto"/>
        <w:jc w:val="center"/>
        <w:rPr>
          <w:rFonts w:ascii="宋体" w:hAnsi="宋体"/>
          <w:b/>
          <w:sz w:val="52"/>
          <w:szCs w:val="52"/>
        </w:rPr>
      </w:pPr>
    </w:p>
    <w:p>
      <w:pPr>
        <w:rPr>
          <w:rFonts w:ascii="宋体" w:hAnsi="宋体"/>
        </w:rPr>
      </w:pPr>
    </w:p>
    <w:p>
      <w:pPr>
        <w:spacing w:line="360" w:lineRule="auto"/>
        <w:jc w:val="center"/>
        <w:rPr>
          <w:rFonts w:ascii="宋体" w:hAnsi="宋体"/>
          <w:b/>
          <w:sz w:val="52"/>
          <w:szCs w:val="52"/>
        </w:rPr>
      </w:pP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项目</w:t>
      </w:r>
      <w:r>
        <w:rPr>
          <w:rFonts w:ascii="宋体" w:hAnsi="宋体"/>
          <w:sz w:val="24"/>
        </w:rPr>
        <w:t>名称：</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采购人</w:t>
      </w:r>
      <w:r>
        <w:rPr>
          <w:rFonts w:ascii="宋体" w:hAnsi="宋体"/>
          <w:sz w:val="24"/>
        </w:rPr>
        <w:t>：</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供应商全称（盖单位公章</w:t>
      </w:r>
      <w:r>
        <w:rPr>
          <w:rFonts w:ascii="宋体" w:hAnsi="宋体"/>
          <w:sz w:val="24"/>
        </w:rPr>
        <w:t>）：</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日期</w:t>
      </w:r>
      <w:r>
        <w:rPr>
          <w:rFonts w:ascii="宋体" w:hAnsi="宋体"/>
          <w:sz w:val="24"/>
        </w:rPr>
        <w:t>：</w:t>
      </w:r>
      <w:r>
        <w:rPr>
          <w:rFonts w:hint="eastAsia" w:ascii="宋体" w:hAnsi="宋体"/>
          <w:sz w:val="24"/>
          <w:u w:val="single"/>
        </w:rPr>
        <w:t xml:space="preserve">                 年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月    </w:t>
      </w:r>
      <w:r>
        <w:rPr>
          <w:rFonts w:ascii="宋体" w:hAnsi="宋体"/>
          <w:sz w:val="24"/>
          <w:u w:val="single"/>
        </w:rPr>
        <w:t xml:space="preserve">  </w:t>
      </w:r>
      <w:r>
        <w:rPr>
          <w:rFonts w:hint="eastAsia" w:ascii="宋体" w:hAnsi="宋体"/>
          <w:sz w:val="24"/>
          <w:u w:val="single"/>
        </w:rPr>
        <w:t>日</w:t>
      </w:r>
    </w:p>
    <w:p>
      <w:pPr>
        <w:rPr>
          <w:rFonts w:ascii="宋体" w:hAnsi="宋体"/>
        </w:rPr>
      </w:pPr>
    </w:p>
    <w:p>
      <w:pPr>
        <w:pStyle w:val="14"/>
        <w:spacing w:line="360" w:lineRule="auto"/>
        <w:ind w:firstLine="0" w:firstLineChars="0"/>
        <w:rPr>
          <w:rFonts w:ascii="宋体" w:hAnsi="宋体"/>
          <w:color w:val="000000"/>
          <w:sz w:val="28"/>
          <w:szCs w:val="28"/>
        </w:rPr>
      </w:pPr>
      <w:r>
        <w:rPr>
          <w:rFonts w:ascii="宋体" w:hAnsi="宋体"/>
          <w:color w:val="000000"/>
          <w:sz w:val="28"/>
          <w:szCs w:val="28"/>
        </w:rPr>
        <w:br w:type="page"/>
      </w:r>
    </w:p>
    <w:p>
      <w:pPr>
        <w:pStyle w:val="5"/>
        <w:spacing w:line="360" w:lineRule="auto"/>
        <w:rPr>
          <w:rFonts w:ascii="宋体" w:hAnsi="宋体" w:cs="宋体"/>
          <w:sz w:val="28"/>
          <w:szCs w:val="28"/>
        </w:rPr>
      </w:pPr>
      <w:bookmarkStart w:id="179" w:name="_Toc472608730"/>
      <w:bookmarkStart w:id="180" w:name="_Toc518487373"/>
      <w:bookmarkStart w:id="181" w:name="_Toc112257070"/>
      <w:r>
        <w:rPr>
          <w:rFonts w:hint="eastAsia" w:ascii="宋体" w:hAnsi="宋体" w:cs="宋体"/>
          <w:sz w:val="28"/>
          <w:szCs w:val="28"/>
        </w:rPr>
        <w:t>一、</w:t>
      </w:r>
      <w:bookmarkEnd w:id="179"/>
      <w:bookmarkEnd w:id="180"/>
      <w:bookmarkStart w:id="182" w:name="_Toc472608731"/>
      <w:bookmarkStart w:id="183" w:name="_Toc511225046"/>
      <w:bookmarkStart w:id="184" w:name="_Toc518487374"/>
      <w:bookmarkStart w:id="185" w:name="_Toc217446086"/>
      <w:r>
        <w:rPr>
          <w:rFonts w:hint="eastAsia" w:ascii="宋体" w:hAnsi="宋体" w:cs="宋体"/>
          <w:sz w:val="28"/>
          <w:szCs w:val="28"/>
        </w:rPr>
        <w:t>报价汇总表</w:t>
      </w:r>
      <w:bookmarkEnd w:id="181"/>
      <w:bookmarkEnd w:id="182"/>
      <w:bookmarkEnd w:id="183"/>
      <w:bookmarkEnd w:id="184"/>
      <w:bookmarkEnd w:id="185"/>
    </w:p>
    <w:p>
      <w:pPr>
        <w:spacing w:line="360" w:lineRule="auto"/>
        <w:rPr>
          <w:rFonts w:ascii="宋体" w:hAnsi="宋体"/>
          <w:sz w:val="24"/>
          <w:u w:val="single"/>
        </w:rPr>
      </w:pPr>
    </w:p>
    <w:p>
      <w:pPr>
        <w:spacing w:line="500" w:lineRule="exact"/>
        <w:rPr>
          <w:rFonts w:ascii="宋体" w:hAnsi="宋体"/>
          <w:sz w:val="24"/>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w:t>
      </w:r>
    </w:p>
    <w:p/>
    <w:tbl>
      <w:tblPr>
        <w:tblStyle w:val="4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1"/>
        <w:gridCol w:w="3756"/>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62" w:type="pct"/>
            <w:vAlign w:val="center"/>
          </w:tcPr>
          <w:p>
            <w:pPr>
              <w:pStyle w:val="678"/>
              <w:ind w:left="683" w:hanging="683"/>
              <w:rPr>
                <w:b/>
                <w:bCs/>
                <w:szCs w:val="21"/>
              </w:rPr>
            </w:pPr>
            <w:r>
              <w:rPr>
                <w:rFonts w:hint="eastAsia"/>
                <w:b/>
                <w:bCs/>
                <w:szCs w:val="21"/>
              </w:rPr>
              <w:t>项目名称</w:t>
            </w:r>
          </w:p>
        </w:tc>
        <w:tc>
          <w:tcPr>
            <w:tcW w:w="1891" w:type="pct"/>
            <w:vAlign w:val="center"/>
          </w:tcPr>
          <w:p>
            <w:pPr>
              <w:pStyle w:val="678"/>
              <w:ind w:left="683" w:hanging="683"/>
              <w:rPr>
                <w:b/>
                <w:bCs/>
                <w:szCs w:val="21"/>
              </w:rPr>
            </w:pPr>
            <w:r>
              <w:rPr>
                <w:rFonts w:hint="eastAsia"/>
                <w:b/>
                <w:bCs/>
                <w:szCs w:val="21"/>
              </w:rPr>
              <w:t>投标总价</w:t>
            </w:r>
          </w:p>
        </w:tc>
        <w:tc>
          <w:tcPr>
            <w:tcW w:w="546" w:type="pct"/>
            <w:vAlign w:val="center"/>
          </w:tcPr>
          <w:p>
            <w:pPr>
              <w:pStyle w:val="678"/>
              <w:ind w:left="683" w:hanging="683"/>
              <w:rPr>
                <w:b/>
                <w:bCs/>
                <w:szCs w:val="21"/>
              </w:rPr>
            </w:pPr>
            <w:r>
              <w:rPr>
                <w:rFonts w:hint="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2562" w:type="pct"/>
            <w:vAlign w:val="center"/>
          </w:tcPr>
          <w:p>
            <w:pPr>
              <w:pStyle w:val="663"/>
              <w:jc w:val="center"/>
              <w:rPr>
                <w:sz w:val="21"/>
                <w:szCs w:val="21"/>
              </w:rPr>
            </w:pPr>
          </w:p>
        </w:tc>
        <w:tc>
          <w:tcPr>
            <w:tcW w:w="1891" w:type="pct"/>
            <w:vAlign w:val="center"/>
          </w:tcPr>
          <w:p>
            <w:pPr>
              <w:pStyle w:val="663"/>
              <w:rPr>
                <w:sz w:val="21"/>
                <w:szCs w:val="21"/>
                <w:u w:val="single"/>
              </w:rPr>
            </w:pPr>
            <w:r>
              <w:rPr>
                <w:rFonts w:hint="eastAsia"/>
                <w:sz w:val="21"/>
                <w:szCs w:val="21"/>
              </w:rPr>
              <w:t>小写：</w:t>
            </w:r>
            <w:r>
              <w:rPr>
                <w:rFonts w:hint="eastAsia"/>
                <w:sz w:val="21"/>
                <w:szCs w:val="21"/>
                <w:u w:val="single"/>
              </w:rPr>
              <w:t xml:space="preserve">                </w:t>
            </w:r>
            <w:r>
              <w:rPr>
                <w:rFonts w:hint="eastAsia"/>
                <w:sz w:val="21"/>
                <w:szCs w:val="21"/>
              </w:rPr>
              <w:t>元。</w:t>
            </w:r>
          </w:p>
          <w:p>
            <w:pPr>
              <w:pStyle w:val="663"/>
              <w:rPr>
                <w:sz w:val="21"/>
                <w:szCs w:val="21"/>
              </w:rPr>
            </w:pPr>
            <w:r>
              <w:rPr>
                <w:rFonts w:hint="eastAsia"/>
                <w:sz w:val="21"/>
                <w:szCs w:val="21"/>
              </w:rPr>
              <w:t>大写：</w:t>
            </w:r>
            <w:r>
              <w:rPr>
                <w:rFonts w:hint="eastAsia"/>
                <w:sz w:val="21"/>
                <w:szCs w:val="21"/>
                <w:u w:val="single"/>
              </w:rPr>
              <w:t xml:space="preserve">                </w:t>
            </w:r>
            <w:r>
              <w:rPr>
                <w:rFonts w:hint="eastAsia"/>
                <w:sz w:val="21"/>
                <w:szCs w:val="21"/>
              </w:rPr>
              <w:t>元。</w:t>
            </w:r>
          </w:p>
        </w:tc>
        <w:tc>
          <w:tcPr>
            <w:tcW w:w="546" w:type="pct"/>
            <w:vAlign w:val="center"/>
          </w:tcPr>
          <w:p>
            <w:pPr>
              <w:pStyle w:val="663"/>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000" w:type="pct"/>
            <w:gridSpan w:val="3"/>
            <w:vAlign w:val="center"/>
          </w:tcPr>
          <w:p>
            <w:pPr>
              <w:pStyle w:val="663"/>
              <w:rPr>
                <w:b/>
                <w:bCs/>
                <w:sz w:val="21"/>
                <w:szCs w:val="21"/>
              </w:rPr>
            </w:pPr>
            <w:r>
              <w:rPr>
                <w:rFonts w:hint="eastAsia"/>
                <w:sz w:val="21"/>
                <w:szCs w:val="21"/>
              </w:rPr>
              <w:t>履约时间：本项目在合同签订生效后3</w:t>
            </w:r>
            <w:r>
              <w:rPr>
                <w:sz w:val="21"/>
                <w:szCs w:val="21"/>
              </w:rPr>
              <w:t>0</w:t>
            </w:r>
            <w:r>
              <w:rPr>
                <w:rFonts w:hint="eastAsia"/>
                <w:sz w:val="21"/>
                <w:szCs w:val="21"/>
              </w:rPr>
              <w:t>日内完成全部货物交货(含全部安装工作)并提交验收。</w:t>
            </w:r>
          </w:p>
        </w:tc>
      </w:tr>
    </w:tbl>
    <w:p/>
    <w:p>
      <w:pPr>
        <w:adjustRightInd w:val="0"/>
        <w:snapToGrid w:val="0"/>
        <w:spacing w:line="360" w:lineRule="auto"/>
        <w:ind w:firstLine="420" w:firstLineChars="200"/>
        <w:rPr>
          <w:rFonts w:ascii="宋体" w:hAnsi="宋体"/>
          <w:szCs w:val="21"/>
        </w:rPr>
      </w:pPr>
      <w:r>
        <w:rPr>
          <w:rFonts w:hint="eastAsia" w:ascii="宋体" w:hAnsi="宋体"/>
          <w:szCs w:val="21"/>
        </w:rPr>
        <w:t>注：1、本项目报价已包括完成本文件规定的所有费用（含税）。</w:t>
      </w:r>
    </w:p>
    <w:p>
      <w:pPr>
        <w:adjustRightInd w:val="0"/>
        <w:snapToGrid w:val="0"/>
        <w:spacing w:line="360" w:lineRule="auto"/>
        <w:ind w:firstLine="420" w:firstLineChars="200"/>
        <w:rPr>
          <w:rFonts w:ascii="宋体" w:hAnsi="宋体"/>
          <w:szCs w:val="21"/>
        </w:rPr>
      </w:pPr>
      <w:r>
        <w:rPr>
          <w:rFonts w:hint="eastAsia" w:ascii="宋体" w:hAnsi="宋体"/>
          <w:szCs w:val="21"/>
        </w:rPr>
        <w:t>2、</w:t>
      </w:r>
      <w:r>
        <w:rPr>
          <w:rFonts w:ascii="宋体" w:hAnsi="宋体"/>
          <w:szCs w:val="21"/>
        </w:rPr>
        <w:t>我方报价均真实有效，不存在</w:t>
      </w:r>
      <w:r>
        <w:rPr>
          <w:rFonts w:hint="eastAsia" w:ascii="宋体" w:hAnsi="宋体"/>
          <w:szCs w:val="21"/>
        </w:rPr>
        <w:t>低于成本</w:t>
      </w:r>
      <w:r>
        <w:rPr>
          <w:rFonts w:ascii="宋体" w:hAnsi="宋体"/>
          <w:szCs w:val="21"/>
        </w:rPr>
        <w:t>的不正当竞争行为</w:t>
      </w:r>
      <w:r>
        <w:rPr>
          <w:rFonts w:hint="eastAsia" w:ascii="宋体" w:hAnsi="宋体"/>
          <w:szCs w:val="21"/>
        </w:rPr>
        <w:t>，并且</w:t>
      </w:r>
      <w:r>
        <w:rPr>
          <w:rFonts w:ascii="宋体" w:hAnsi="宋体"/>
          <w:szCs w:val="21"/>
        </w:rPr>
        <w:t>不存在以低价谋取成交后提供不良产品</w:t>
      </w:r>
      <w:r>
        <w:rPr>
          <w:rFonts w:hint="eastAsia" w:ascii="宋体" w:hAnsi="宋体"/>
          <w:szCs w:val="21"/>
        </w:rPr>
        <w:t>或者</w:t>
      </w:r>
      <w:r>
        <w:rPr>
          <w:rFonts w:ascii="宋体" w:hAnsi="宋体"/>
          <w:szCs w:val="21"/>
        </w:rPr>
        <w:t>不诚信履约情况</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3、磋商</w:t>
      </w:r>
      <w:r>
        <w:rPr>
          <w:rFonts w:ascii="宋体" w:hAnsi="宋体"/>
          <w:szCs w:val="21"/>
        </w:rPr>
        <w:t>小组认为我方报价低于成本，我方将按照</w:t>
      </w:r>
      <w:r>
        <w:rPr>
          <w:rFonts w:hint="eastAsia" w:ascii="宋体" w:hAnsi="宋体"/>
          <w:szCs w:val="21"/>
        </w:rPr>
        <w:t>磋商</w:t>
      </w:r>
      <w:r>
        <w:rPr>
          <w:rFonts w:ascii="宋体" w:hAnsi="宋体"/>
          <w:szCs w:val="21"/>
        </w:rPr>
        <w:t>小组要求</w:t>
      </w:r>
      <w:r>
        <w:rPr>
          <w:rFonts w:hint="eastAsia" w:ascii="宋体" w:hAnsi="宋体"/>
          <w:szCs w:val="21"/>
        </w:rPr>
        <w:t>积极</w:t>
      </w:r>
      <w:r>
        <w:rPr>
          <w:rFonts w:ascii="宋体" w:hAnsi="宋体"/>
          <w:szCs w:val="21"/>
        </w:rPr>
        <w:t>配合提供相关证明材料</w:t>
      </w:r>
      <w:r>
        <w:rPr>
          <w:rFonts w:hint="eastAsia" w:ascii="宋体" w:hAnsi="宋体"/>
          <w:szCs w:val="21"/>
        </w:rPr>
        <w:t>；并</w:t>
      </w:r>
      <w:r>
        <w:rPr>
          <w:rFonts w:ascii="宋体" w:hAnsi="宋体"/>
          <w:szCs w:val="21"/>
        </w:rPr>
        <w:t>接受</w:t>
      </w:r>
      <w:r>
        <w:rPr>
          <w:rFonts w:hint="eastAsia" w:ascii="宋体" w:hAnsi="宋体"/>
          <w:szCs w:val="21"/>
        </w:rPr>
        <w:t>磋商</w:t>
      </w:r>
      <w:r>
        <w:rPr>
          <w:rFonts w:ascii="宋体" w:hAnsi="宋体"/>
          <w:szCs w:val="21"/>
        </w:rPr>
        <w:t>小组</w:t>
      </w:r>
      <w:r>
        <w:rPr>
          <w:rFonts w:hint="eastAsia" w:ascii="宋体" w:hAnsi="宋体"/>
          <w:szCs w:val="21"/>
        </w:rPr>
        <w:t>的</w:t>
      </w:r>
      <w:r>
        <w:rPr>
          <w:rFonts w:ascii="宋体" w:hAnsi="宋体"/>
          <w:szCs w:val="21"/>
        </w:rPr>
        <w:t>评审认定。</w:t>
      </w:r>
    </w:p>
    <w:p>
      <w:pPr>
        <w:adjustRightInd w:val="0"/>
        <w:snapToGrid w:val="0"/>
        <w:spacing w:line="360" w:lineRule="auto"/>
        <w:ind w:firstLine="420" w:firstLineChars="200"/>
        <w:rPr>
          <w:rFonts w:ascii="宋体" w:hAnsi="宋体"/>
          <w:szCs w:val="21"/>
        </w:rPr>
      </w:pPr>
      <w:r>
        <w:rPr>
          <w:rFonts w:hint="eastAsia" w:ascii="宋体" w:hAnsi="宋体"/>
          <w:szCs w:val="21"/>
        </w:rPr>
        <w:t>4、小数点保留两位。</w:t>
      </w:r>
    </w:p>
    <w:p>
      <w:pPr>
        <w:pStyle w:val="26"/>
        <w:adjustRightInd w:val="0"/>
        <w:snapToGrid w:val="0"/>
        <w:spacing w:line="360" w:lineRule="auto"/>
        <w:rPr>
          <w:rFonts w:hAnsi="宋体"/>
          <w:b/>
          <w:color w:val="000000"/>
          <w:sz w:val="30"/>
          <w:szCs w:val="30"/>
        </w:rPr>
      </w:pPr>
    </w:p>
    <w:p>
      <w:pPr>
        <w:spacing w:line="500" w:lineRule="exact"/>
        <w:jc w:val="left"/>
        <w:rPr>
          <w:rFonts w:ascii="宋体" w:hAnsi="宋体"/>
          <w:sz w:val="24"/>
        </w:rPr>
      </w:pPr>
      <w:r>
        <w:rPr>
          <w:rFonts w:hint="eastAsia" w:ascii="宋体" w:hAnsi="宋体"/>
          <w:sz w:val="24"/>
        </w:rPr>
        <w:t>供应商全称：</w:t>
      </w:r>
      <w:r>
        <w:rPr>
          <w:rFonts w:hint="eastAsia" w:ascii="宋体" w:hAnsi="宋体"/>
          <w:sz w:val="24"/>
          <w:u w:val="single"/>
        </w:rPr>
        <w:t>　　　</w:t>
      </w:r>
      <w:r>
        <w:rPr>
          <w:rFonts w:ascii="宋体" w:hAnsi="宋体"/>
          <w:sz w:val="24"/>
          <w:u w:val="single"/>
        </w:rPr>
        <w:t xml:space="preserve">              </w:t>
      </w:r>
      <w:r>
        <w:rPr>
          <w:rFonts w:hint="eastAsia" w:ascii="宋体" w:hAnsi="宋体"/>
          <w:sz w:val="24"/>
          <w:u w:val="single"/>
        </w:rPr>
        <w:t>（盖单位公章）</w:t>
      </w:r>
    </w:p>
    <w:p>
      <w:pPr>
        <w:spacing w:line="500" w:lineRule="exact"/>
        <w:jc w:val="left"/>
        <w:rPr>
          <w:rFonts w:ascii="宋体" w:hAnsi="宋体"/>
          <w:sz w:val="24"/>
          <w:u w:val="single"/>
        </w:rPr>
      </w:pPr>
      <w:r>
        <w:rPr>
          <w:rFonts w:hint="eastAsia" w:ascii="宋体" w:hAnsi="宋体"/>
          <w:sz w:val="24"/>
        </w:rPr>
        <w:t>法定代表人（负责人）或授权代表：</w:t>
      </w:r>
      <w:r>
        <w:rPr>
          <w:rFonts w:hint="eastAsia" w:ascii="宋体" w:hAnsi="宋体"/>
          <w:sz w:val="24"/>
          <w:u w:val="single"/>
        </w:rPr>
        <w:t>　　　　　　　　　　　　　　（签字）</w:t>
      </w:r>
    </w:p>
    <w:p>
      <w:pPr>
        <w:spacing w:line="500" w:lineRule="exact"/>
        <w:jc w:val="left"/>
        <w:rPr>
          <w:rFonts w:ascii="宋体" w:hAnsi="宋体"/>
          <w:sz w:val="24"/>
        </w:rPr>
      </w:pPr>
      <w:r>
        <w:rPr>
          <w:rFonts w:hint="eastAsia" w:ascii="宋体" w:hAnsi="宋体"/>
          <w:sz w:val="24"/>
        </w:rPr>
        <w:t>日期：</w:t>
      </w:r>
      <w:r>
        <w:rPr>
          <w:rFonts w:hint="eastAsia" w:ascii="宋体" w:hAnsi="宋体"/>
          <w:sz w:val="24"/>
          <w:u w:val="single"/>
        </w:rPr>
        <w:t>　　　　　年　　　月　　　　日</w:t>
      </w:r>
    </w:p>
    <w:p>
      <w:pPr>
        <w:pStyle w:val="26"/>
        <w:adjustRightInd w:val="0"/>
        <w:snapToGrid w:val="0"/>
        <w:spacing w:line="360" w:lineRule="auto"/>
        <w:ind w:firstLine="630" w:firstLineChars="196"/>
        <w:rPr>
          <w:rFonts w:hAnsi="宋体" w:cs="黑体"/>
          <w:b/>
          <w:bCs/>
          <w:color w:val="000000"/>
          <w:sz w:val="32"/>
          <w:szCs w:val="32"/>
        </w:rPr>
      </w:pPr>
    </w:p>
    <w:p>
      <w:pPr>
        <w:pStyle w:val="5"/>
        <w:spacing w:before="0" w:after="0" w:line="360" w:lineRule="auto"/>
        <w:rPr>
          <w:rFonts w:ascii="宋体" w:hAnsi="宋体"/>
        </w:rPr>
      </w:pPr>
      <w:r>
        <w:rPr>
          <w:rFonts w:ascii="宋体" w:hAnsi="宋体"/>
          <w:b w:val="0"/>
          <w:color w:val="000000"/>
          <w:sz w:val="30"/>
          <w:szCs w:val="30"/>
        </w:rPr>
        <w:br w:type="page"/>
      </w:r>
      <w:bookmarkStart w:id="186" w:name="_Toc112257071"/>
      <w:r>
        <w:rPr>
          <w:rFonts w:hint="eastAsia" w:ascii="宋体" w:hAnsi="宋体" w:cs="宋体"/>
          <w:sz w:val="28"/>
          <w:szCs w:val="28"/>
        </w:rPr>
        <w:t>二、分项报价明细表</w:t>
      </w:r>
      <w:bookmarkEnd w:id="186"/>
    </w:p>
    <w:p>
      <w:pPr>
        <w:spacing w:line="360" w:lineRule="auto"/>
        <w:rPr>
          <w:rFonts w:ascii="宋体" w:hAnsi="宋体"/>
          <w:sz w:val="24"/>
          <w:u w:val="single"/>
        </w:rPr>
      </w:pPr>
    </w:p>
    <w:p>
      <w:pPr>
        <w:spacing w:line="500" w:lineRule="exact"/>
        <w:rPr>
          <w:rFonts w:ascii="宋体" w:hAnsi="宋体"/>
          <w:sz w:val="24"/>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245"/>
        <w:gridCol w:w="1263"/>
        <w:gridCol w:w="992"/>
        <w:gridCol w:w="1433"/>
        <w:gridCol w:w="991"/>
        <w:gridCol w:w="698"/>
        <w:gridCol w:w="746"/>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exact"/>
          <w:jc w:val="center"/>
        </w:trPr>
        <w:tc>
          <w:tcPr>
            <w:tcW w:w="820" w:type="dxa"/>
            <w:vAlign w:val="center"/>
          </w:tcPr>
          <w:p>
            <w:pPr>
              <w:spacing w:line="500" w:lineRule="exact"/>
              <w:jc w:val="center"/>
              <w:rPr>
                <w:rFonts w:ascii="宋体" w:hAnsi="宋体"/>
                <w:sz w:val="22"/>
                <w:szCs w:val="22"/>
              </w:rPr>
            </w:pPr>
            <w:r>
              <w:rPr>
                <w:rFonts w:hint="eastAsia" w:ascii="宋体" w:hAnsi="宋体"/>
                <w:sz w:val="22"/>
                <w:szCs w:val="22"/>
              </w:rPr>
              <w:t>序号</w:t>
            </w:r>
          </w:p>
        </w:tc>
        <w:tc>
          <w:tcPr>
            <w:tcW w:w="1245" w:type="dxa"/>
            <w:vAlign w:val="center"/>
          </w:tcPr>
          <w:p>
            <w:pPr>
              <w:spacing w:line="500" w:lineRule="exact"/>
              <w:jc w:val="center"/>
              <w:rPr>
                <w:rFonts w:ascii="宋体" w:hAnsi="宋体"/>
                <w:sz w:val="22"/>
                <w:szCs w:val="22"/>
              </w:rPr>
            </w:pPr>
            <w:r>
              <w:rPr>
                <w:rFonts w:hint="eastAsia" w:ascii="宋体" w:hAnsi="宋体"/>
                <w:sz w:val="22"/>
                <w:szCs w:val="22"/>
              </w:rPr>
              <w:t>产品名称</w:t>
            </w:r>
          </w:p>
        </w:tc>
        <w:tc>
          <w:tcPr>
            <w:tcW w:w="1263" w:type="dxa"/>
            <w:vAlign w:val="center"/>
          </w:tcPr>
          <w:p>
            <w:pPr>
              <w:spacing w:line="500" w:lineRule="exact"/>
              <w:jc w:val="center"/>
              <w:rPr>
                <w:rFonts w:ascii="宋体" w:hAnsi="宋体"/>
                <w:sz w:val="22"/>
                <w:szCs w:val="22"/>
              </w:rPr>
            </w:pPr>
            <w:r>
              <w:rPr>
                <w:rFonts w:hint="eastAsia" w:ascii="宋体" w:hAnsi="宋体"/>
                <w:sz w:val="22"/>
                <w:szCs w:val="22"/>
              </w:rPr>
              <w:t>规格型号</w:t>
            </w:r>
          </w:p>
        </w:tc>
        <w:tc>
          <w:tcPr>
            <w:tcW w:w="992" w:type="dxa"/>
            <w:vAlign w:val="center"/>
          </w:tcPr>
          <w:p>
            <w:pPr>
              <w:spacing w:line="500" w:lineRule="exact"/>
              <w:jc w:val="center"/>
              <w:rPr>
                <w:rFonts w:ascii="宋体" w:hAnsi="宋体"/>
                <w:sz w:val="22"/>
                <w:szCs w:val="22"/>
              </w:rPr>
            </w:pPr>
            <w:r>
              <w:rPr>
                <w:rFonts w:hint="eastAsia" w:ascii="宋体" w:hAnsi="宋体"/>
                <w:sz w:val="22"/>
                <w:szCs w:val="22"/>
              </w:rPr>
              <w:t>品牌</w:t>
            </w:r>
          </w:p>
        </w:tc>
        <w:tc>
          <w:tcPr>
            <w:tcW w:w="1433" w:type="dxa"/>
            <w:vAlign w:val="center"/>
          </w:tcPr>
          <w:p>
            <w:pPr>
              <w:spacing w:line="500" w:lineRule="exact"/>
              <w:jc w:val="center"/>
              <w:rPr>
                <w:rFonts w:ascii="宋体" w:hAnsi="宋体"/>
                <w:sz w:val="22"/>
                <w:szCs w:val="22"/>
              </w:rPr>
            </w:pPr>
            <w:r>
              <w:rPr>
                <w:rFonts w:hint="eastAsia" w:ascii="宋体" w:hAnsi="宋体"/>
                <w:sz w:val="22"/>
                <w:szCs w:val="22"/>
              </w:rPr>
              <w:t>制造</w:t>
            </w:r>
            <w:r>
              <w:rPr>
                <w:rFonts w:ascii="宋体" w:hAnsi="宋体"/>
                <w:sz w:val="22"/>
                <w:szCs w:val="22"/>
              </w:rPr>
              <w:t>商名称</w:t>
            </w:r>
          </w:p>
        </w:tc>
        <w:tc>
          <w:tcPr>
            <w:tcW w:w="991" w:type="dxa"/>
            <w:vAlign w:val="center"/>
          </w:tcPr>
          <w:p>
            <w:pPr>
              <w:spacing w:line="500" w:lineRule="exact"/>
              <w:jc w:val="center"/>
              <w:rPr>
                <w:rFonts w:ascii="宋体" w:hAnsi="宋体"/>
                <w:sz w:val="22"/>
                <w:szCs w:val="22"/>
              </w:rPr>
            </w:pPr>
            <w:r>
              <w:rPr>
                <w:rFonts w:hint="eastAsia" w:ascii="宋体" w:hAnsi="宋体"/>
                <w:sz w:val="22"/>
                <w:szCs w:val="22"/>
              </w:rPr>
              <w:t>数量及单位</w:t>
            </w:r>
          </w:p>
        </w:tc>
        <w:tc>
          <w:tcPr>
            <w:tcW w:w="698" w:type="dxa"/>
            <w:vAlign w:val="center"/>
          </w:tcPr>
          <w:p>
            <w:pPr>
              <w:spacing w:line="500" w:lineRule="exact"/>
              <w:jc w:val="center"/>
              <w:rPr>
                <w:rFonts w:ascii="宋体" w:hAnsi="宋体"/>
                <w:sz w:val="22"/>
                <w:szCs w:val="22"/>
              </w:rPr>
            </w:pPr>
            <w:r>
              <w:rPr>
                <w:rFonts w:hint="eastAsia" w:ascii="宋体" w:hAnsi="宋体"/>
                <w:sz w:val="22"/>
                <w:szCs w:val="22"/>
              </w:rPr>
              <w:t>单价</w:t>
            </w:r>
          </w:p>
        </w:tc>
        <w:tc>
          <w:tcPr>
            <w:tcW w:w="746" w:type="dxa"/>
            <w:vAlign w:val="center"/>
          </w:tcPr>
          <w:p>
            <w:pPr>
              <w:spacing w:line="500" w:lineRule="exact"/>
              <w:jc w:val="center"/>
              <w:rPr>
                <w:rFonts w:ascii="宋体" w:hAnsi="宋体"/>
                <w:sz w:val="22"/>
                <w:szCs w:val="22"/>
              </w:rPr>
            </w:pPr>
            <w:r>
              <w:rPr>
                <w:rFonts w:hint="eastAsia" w:ascii="宋体" w:hAnsi="宋体"/>
                <w:sz w:val="22"/>
                <w:szCs w:val="22"/>
              </w:rPr>
              <w:t>总价</w:t>
            </w:r>
          </w:p>
        </w:tc>
        <w:tc>
          <w:tcPr>
            <w:tcW w:w="851" w:type="dxa"/>
            <w:vAlign w:val="center"/>
          </w:tcPr>
          <w:p>
            <w:pPr>
              <w:spacing w:line="500" w:lineRule="exact"/>
              <w:jc w:val="center"/>
              <w:rPr>
                <w:rFonts w:ascii="宋体" w:hAnsi="宋体"/>
                <w:sz w:val="22"/>
                <w:szCs w:val="22"/>
              </w:rPr>
            </w:pPr>
            <w:r>
              <w:rPr>
                <w:rFonts w:hint="eastAsia" w:ascii="宋体" w:hAnsi="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0" w:type="dxa"/>
            <w:vAlign w:val="center"/>
          </w:tcPr>
          <w:p>
            <w:pPr>
              <w:spacing w:line="500" w:lineRule="exact"/>
              <w:jc w:val="center"/>
              <w:rPr>
                <w:rFonts w:ascii="宋体" w:hAnsi="宋体"/>
                <w:sz w:val="22"/>
                <w:szCs w:val="22"/>
              </w:rPr>
            </w:pPr>
            <w:r>
              <w:rPr>
                <w:rFonts w:hint="eastAsia" w:ascii="宋体" w:hAnsi="宋体"/>
                <w:sz w:val="22"/>
                <w:szCs w:val="22"/>
              </w:rPr>
              <w:t>1</w:t>
            </w:r>
          </w:p>
        </w:tc>
        <w:tc>
          <w:tcPr>
            <w:tcW w:w="1245" w:type="dxa"/>
            <w:vAlign w:val="center"/>
          </w:tcPr>
          <w:p>
            <w:pPr>
              <w:spacing w:line="500" w:lineRule="exact"/>
              <w:jc w:val="center"/>
              <w:rPr>
                <w:rFonts w:ascii="宋体" w:hAnsi="宋体"/>
                <w:sz w:val="22"/>
                <w:szCs w:val="22"/>
              </w:rPr>
            </w:pPr>
          </w:p>
        </w:tc>
        <w:tc>
          <w:tcPr>
            <w:tcW w:w="1263" w:type="dxa"/>
            <w:vAlign w:val="center"/>
          </w:tcPr>
          <w:p>
            <w:pPr>
              <w:spacing w:line="500" w:lineRule="exact"/>
              <w:jc w:val="center"/>
              <w:rPr>
                <w:rFonts w:ascii="宋体" w:hAnsi="宋体"/>
                <w:sz w:val="22"/>
                <w:szCs w:val="22"/>
              </w:rPr>
            </w:pPr>
          </w:p>
        </w:tc>
        <w:tc>
          <w:tcPr>
            <w:tcW w:w="992" w:type="dxa"/>
            <w:vAlign w:val="center"/>
          </w:tcPr>
          <w:p>
            <w:pPr>
              <w:spacing w:line="500" w:lineRule="exact"/>
              <w:jc w:val="center"/>
              <w:rPr>
                <w:rFonts w:ascii="宋体" w:hAnsi="宋体"/>
                <w:sz w:val="22"/>
                <w:szCs w:val="22"/>
              </w:rPr>
            </w:pPr>
          </w:p>
        </w:tc>
        <w:tc>
          <w:tcPr>
            <w:tcW w:w="1433" w:type="dxa"/>
            <w:vAlign w:val="center"/>
          </w:tcPr>
          <w:p>
            <w:pPr>
              <w:spacing w:line="500" w:lineRule="exact"/>
              <w:jc w:val="center"/>
              <w:rPr>
                <w:rFonts w:ascii="宋体" w:hAnsi="宋体"/>
                <w:sz w:val="22"/>
                <w:szCs w:val="22"/>
              </w:rPr>
            </w:pPr>
          </w:p>
        </w:tc>
        <w:tc>
          <w:tcPr>
            <w:tcW w:w="991" w:type="dxa"/>
            <w:vAlign w:val="center"/>
          </w:tcPr>
          <w:p>
            <w:pPr>
              <w:spacing w:line="500" w:lineRule="exact"/>
              <w:jc w:val="center"/>
              <w:rPr>
                <w:rFonts w:ascii="宋体" w:hAnsi="宋体"/>
                <w:sz w:val="22"/>
                <w:szCs w:val="22"/>
              </w:rPr>
            </w:pPr>
          </w:p>
        </w:tc>
        <w:tc>
          <w:tcPr>
            <w:tcW w:w="698" w:type="dxa"/>
            <w:vAlign w:val="center"/>
          </w:tcPr>
          <w:p>
            <w:pPr>
              <w:spacing w:line="500" w:lineRule="exact"/>
              <w:jc w:val="center"/>
              <w:rPr>
                <w:rFonts w:ascii="宋体" w:hAnsi="宋体"/>
                <w:sz w:val="22"/>
                <w:szCs w:val="22"/>
              </w:rPr>
            </w:pPr>
          </w:p>
        </w:tc>
        <w:tc>
          <w:tcPr>
            <w:tcW w:w="746" w:type="dxa"/>
            <w:vAlign w:val="center"/>
          </w:tcPr>
          <w:p>
            <w:pPr>
              <w:spacing w:line="500" w:lineRule="exact"/>
              <w:jc w:val="center"/>
              <w:rPr>
                <w:rFonts w:ascii="宋体" w:hAnsi="宋体"/>
                <w:sz w:val="22"/>
                <w:szCs w:val="22"/>
              </w:rPr>
            </w:pPr>
          </w:p>
        </w:tc>
        <w:tc>
          <w:tcPr>
            <w:tcW w:w="851" w:type="dxa"/>
            <w:vAlign w:val="center"/>
          </w:tcPr>
          <w:p>
            <w:pPr>
              <w:spacing w:line="500" w:lineRule="exact"/>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0" w:type="dxa"/>
            <w:vAlign w:val="center"/>
          </w:tcPr>
          <w:p>
            <w:pPr>
              <w:spacing w:line="500" w:lineRule="exact"/>
              <w:jc w:val="center"/>
              <w:rPr>
                <w:rFonts w:ascii="宋体" w:hAnsi="宋体"/>
                <w:sz w:val="22"/>
                <w:szCs w:val="22"/>
              </w:rPr>
            </w:pPr>
            <w:r>
              <w:rPr>
                <w:rFonts w:hint="eastAsia" w:ascii="宋体" w:hAnsi="宋体"/>
                <w:sz w:val="22"/>
                <w:szCs w:val="22"/>
              </w:rPr>
              <w:t>2</w:t>
            </w:r>
          </w:p>
        </w:tc>
        <w:tc>
          <w:tcPr>
            <w:tcW w:w="1245" w:type="dxa"/>
            <w:vAlign w:val="center"/>
          </w:tcPr>
          <w:p>
            <w:pPr>
              <w:spacing w:line="500" w:lineRule="exact"/>
              <w:jc w:val="center"/>
              <w:rPr>
                <w:rFonts w:ascii="宋体" w:hAnsi="宋体"/>
                <w:sz w:val="22"/>
                <w:szCs w:val="22"/>
              </w:rPr>
            </w:pPr>
          </w:p>
        </w:tc>
        <w:tc>
          <w:tcPr>
            <w:tcW w:w="1263" w:type="dxa"/>
            <w:vAlign w:val="center"/>
          </w:tcPr>
          <w:p>
            <w:pPr>
              <w:spacing w:line="500" w:lineRule="exact"/>
              <w:jc w:val="center"/>
              <w:rPr>
                <w:rFonts w:ascii="宋体" w:hAnsi="宋体"/>
                <w:sz w:val="22"/>
                <w:szCs w:val="22"/>
              </w:rPr>
            </w:pPr>
          </w:p>
        </w:tc>
        <w:tc>
          <w:tcPr>
            <w:tcW w:w="992" w:type="dxa"/>
            <w:vAlign w:val="center"/>
          </w:tcPr>
          <w:p>
            <w:pPr>
              <w:spacing w:line="500" w:lineRule="exact"/>
              <w:jc w:val="center"/>
              <w:rPr>
                <w:rFonts w:ascii="宋体" w:hAnsi="宋体"/>
                <w:sz w:val="22"/>
                <w:szCs w:val="22"/>
              </w:rPr>
            </w:pPr>
          </w:p>
        </w:tc>
        <w:tc>
          <w:tcPr>
            <w:tcW w:w="1433" w:type="dxa"/>
            <w:vAlign w:val="center"/>
          </w:tcPr>
          <w:p>
            <w:pPr>
              <w:spacing w:line="500" w:lineRule="exact"/>
              <w:jc w:val="center"/>
              <w:rPr>
                <w:rFonts w:ascii="宋体" w:hAnsi="宋体"/>
                <w:sz w:val="22"/>
                <w:szCs w:val="22"/>
              </w:rPr>
            </w:pPr>
          </w:p>
        </w:tc>
        <w:tc>
          <w:tcPr>
            <w:tcW w:w="991" w:type="dxa"/>
            <w:vAlign w:val="center"/>
          </w:tcPr>
          <w:p>
            <w:pPr>
              <w:spacing w:line="500" w:lineRule="exact"/>
              <w:jc w:val="center"/>
              <w:rPr>
                <w:rFonts w:ascii="宋体" w:hAnsi="宋体"/>
                <w:sz w:val="22"/>
                <w:szCs w:val="22"/>
              </w:rPr>
            </w:pPr>
          </w:p>
        </w:tc>
        <w:tc>
          <w:tcPr>
            <w:tcW w:w="698" w:type="dxa"/>
            <w:vAlign w:val="center"/>
          </w:tcPr>
          <w:p>
            <w:pPr>
              <w:spacing w:line="500" w:lineRule="exact"/>
              <w:jc w:val="center"/>
              <w:rPr>
                <w:rFonts w:ascii="宋体" w:hAnsi="宋体"/>
                <w:sz w:val="22"/>
                <w:szCs w:val="22"/>
              </w:rPr>
            </w:pPr>
          </w:p>
        </w:tc>
        <w:tc>
          <w:tcPr>
            <w:tcW w:w="746" w:type="dxa"/>
            <w:vAlign w:val="center"/>
          </w:tcPr>
          <w:p>
            <w:pPr>
              <w:spacing w:line="500" w:lineRule="exact"/>
              <w:jc w:val="center"/>
              <w:rPr>
                <w:rFonts w:ascii="宋体" w:hAnsi="宋体"/>
                <w:sz w:val="22"/>
                <w:szCs w:val="22"/>
              </w:rPr>
            </w:pPr>
          </w:p>
        </w:tc>
        <w:tc>
          <w:tcPr>
            <w:tcW w:w="851" w:type="dxa"/>
            <w:vAlign w:val="center"/>
          </w:tcPr>
          <w:p>
            <w:pPr>
              <w:spacing w:line="500" w:lineRule="exact"/>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0" w:type="dxa"/>
            <w:vAlign w:val="center"/>
          </w:tcPr>
          <w:p>
            <w:pPr>
              <w:spacing w:line="500" w:lineRule="exact"/>
              <w:jc w:val="center"/>
              <w:rPr>
                <w:rFonts w:ascii="宋体" w:hAnsi="宋体"/>
                <w:sz w:val="22"/>
                <w:szCs w:val="22"/>
              </w:rPr>
            </w:pPr>
            <w:r>
              <w:rPr>
                <w:rFonts w:ascii="宋体" w:hAnsi="宋体"/>
                <w:sz w:val="22"/>
                <w:szCs w:val="22"/>
              </w:rPr>
              <w:t>…</w:t>
            </w:r>
          </w:p>
        </w:tc>
        <w:tc>
          <w:tcPr>
            <w:tcW w:w="1245" w:type="dxa"/>
            <w:vAlign w:val="center"/>
          </w:tcPr>
          <w:p>
            <w:pPr>
              <w:spacing w:line="500" w:lineRule="exact"/>
              <w:jc w:val="center"/>
              <w:rPr>
                <w:rFonts w:ascii="宋体" w:hAnsi="宋体"/>
                <w:sz w:val="22"/>
                <w:szCs w:val="22"/>
              </w:rPr>
            </w:pPr>
          </w:p>
        </w:tc>
        <w:tc>
          <w:tcPr>
            <w:tcW w:w="1263" w:type="dxa"/>
            <w:vAlign w:val="center"/>
          </w:tcPr>
          <w:p>
            <w:pPr>
              <w:spacing w:line="500" w:lineRule="exact"/>
              <w:jc w:val="center"/>
              <w:rPr>
                <w:rFonts w:ascii="宋体" w:hAnsi="宋体"/>
                <w:sz w:val="22"/>
                <w:szCs w:val="22"/>
              </w:rPr>
            </w:pPr>
          </w:p>
        </w:tc>
        <w:tc>
          <w:tcPr>
            <w:tcW w:w="992" w:type="dxa"/>
            <w:vAlign w:val="center"/>
          </w:tcPr>
          <w:p>
            <w:pPr>
              <w:spacing w:line="500" w:lineRule="exact"/>
              <w:jc w:val="center"/>
              <w:rPr>
                <w:rFonts w:ascii="宋体" w:hAnsi="宋体"/>
                <w:sz w:val="22"/>
                <w:szCs w:val="22"/>
              </w:rPr>
            </w:pPr>
          </w:p>
        </w:tc>
        <w:tc>
          <w:tcPr>
            <w:tcW w:w="1433" w:type="dxa"/>
            <w:vAlign w:val="center"/>
          </w:tcPr>
          <w:p>
            <w:pPr>
              <w:spacing w:line="500" w:lineRule="exact"/>
              <w:jc w:val="center"/>
              <w:rPr>
                <w:rFonts w:ascii="宋体" w:hAnsi="宋体"/>
                <w:sz w:val="22"/>
                <w:szCs w:val="22"/>
              </w:rPr>
            </w:pPr>
          </w:p>
        </w:tc>
        <w:tc>
          <w:tcPr>
            <w:tcW w:w="991" w:type="dxa"/>
            <w:vAlign w:val="center"/>
          </w:tcPr>
          <w:p>
            <w:pPr>
              <w:spacing w:line="500" w:lineRule="exact"/>
              <w:jc w:val="center"/>
              <w:rPr>
                <w:rFonts w:ascii="宋体" w:hAnsi="宋体"/>
                <w:sz w:val="22"/>
                <w:szCs w:val="22"/>
              </w:rPr>
            </w:pPr>
          </w:p>
        </w:tc>
        <w:tc>
          <w:tcPr>
            <w:tcW w:w="698" w:type="dxa"/>
            <w:vAlign w:val="center"/>
          </w:tcPr>
          <w:p>
            <w:pPr>
              <w:spacing w:line="500" w:lineRule="exact"/>
              <w:jc w:val="center"/>
              <w:rPr>
                <w:rFonts w:ascii="宋体" w:hAnsi="宋体"/>
                <w:sz w:val="22"/>
                <w:szCs w:val="22"/>
              </w:rPr>
            </w:pPr>
          </w:p>
        </w:tc>
        <w:tc>
          <w:tcPr>
            <w:tcW w:w="746" w:type="dxa"/>
            <w:vAlign w:val="center"/>
          </w:tcPr>
          <w:p>
            <w:pPr>
              <w:spacing w:line="500" w:lineRule="exact"/>
              <w:jc w:val="center"/>
              <w:rPr>
                <w:rFonts w:ascii="宋体" w:hAnsi="宋体"/>
                <w:sz w:val="22"/>
                <w:szCs w:val="22"/>
              </w:rPr>
            </w:pPr>
          </w:p>
        </w:tc>
        <w:tc>
          <w:tcPr>
            <w:tcW w:w="851" w:type="dxa"/>
            <w:vAlign w:val="center"/>
          </w:tcPr>
          <w:p>
            <w:pPr>
              <w:spacing w:line="500" w:lineRule="exact"/>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039" w:type="dxa"/>
            <w:gridSpan w:val="9"/>
            <w:tcBorders>
              <w:top w:val="single" w:color="auto" w:sz="4" w:space="0"/>
              <w:bottom w:val="single" w:color="auto" w:sz="4" w:space="0"/>
            </w:tcBorders>
            <w:vAlign w:val="center"/>
          </w:tcPr>
          <w:p>
            <w:pPr>
              <w:spacing w:line="500" w:lineRule="exact"/>
              <w:rPr>
                <w:rFonts w:ascii="宋体" w:hAnsi="宋体"/>
                <w:sz w:val="22"/>
                <w:szCs w:val="22"/>
              </w:rPr>
            </w:pPr>
            <w:r>
              <w:rPr>
                <w:rFonts w:hint="eastAsia" w:ascii="宋体" w:hAnsi="宋体"/>
                <w:sz w:val="22"/>
                <w:szCs w:val="22"/>
              </w:rPr>
              <w:t xml:space="preserve">报价合计（元）：     </w:t>
            </w:r>
          </w:p>
          <w:p>
            <w:pPr>
              <w:spacing w:line="500" w:lineRule="exact"/>
              <w:rPr>
                <w:rFonts w:ascii="宋体" w:hAnsi="宋体"/>
                <w:sz w:val="22"/>
                <w:szCs w:val="22"/>
              </w:rPr>
            </w:pPr>
            <w:r>
              <w:rPr>
                <w:rFonts w:hint="eastAsia" w:ascii="宋体" w:hAnsi="宋体"/>
                <w:sz w:val="22"/>
                <w:szCs w:val="22"/>
              </w:rPr>
              <w:t xml:space="preserve">     大写：</w:t>
            </w:r>
          </w:p>
        </w:tc>
      </w:tr>
    </w:tbl>
    <w:p>
      <w:pPr>
        <w:adjustRightInd w:val="0"/>
        <w:snapToGrid w:val="0"/>
        <w:spacing w:line="360" w:lineRule="auto"/>
        <w:ind w:firstLine="420" w:firstLineChars="200"/>
        <w:rPr>
          <w:rFonts w:ascii="宋体" w:hAnsi="宋体"/>
          <w:szCs w:val="21"/>
        </w:rPr>
      </w:pPr>
      <w:r>
        <w:rPr>
          <w:rFonts w:hint="eastAsia" w:ascii="宋体" w:hAnsi="宋体"/>
          <w:szCs w:val="21"/>
        </w:rPr>
        <w:t>注：1、本项目报价已包括完成本文件规定的所有费用（含税）。</w:t>
      </w:r>
    </w:p>
    <w:p>
      <w:pPr>
        <w:adjustRightInd w:val="0"/>
        <w:snapToGrid w:val="0"/>
        <w:spacing w:line="360" w:lineRule="auto"/>
        <w:ind w:firstLine="420" w:firstLineChars="200"/>
        <w:rPr>
          <w:rFonts w:ascii="宋体" w:hAnsi="宋体"/>
          <w:szCs w:val="21"/>
        </w:rPr>
      </w:pPr>
      <w:r>
        <w:rPr>
          <w:rFonts w:hint="eastAsia" w:ascii="宋体" w:hAnsi="宋体"/>
          <w:szCs w:val="21"/>
        </w:rPr>
        <w:t>2、</w:t>
      </w:r>
      <w:r>
        <w:rPr>
          <w:rFonts w:ascii="宋体" w:hAnsi="宋体"/>
          <w:szCs w:val="21"/>
        </w:rPr>
        <w:t>我方报价均真实有效，不存在</w:t>
      </w:r>
      <w:r>
        <w:rPr>
          <w:rFonts w:hint="eastAsia" w:ascii="宋体" w:hAnsi="宋体"/>
          <w:szCs w:val="21"/>
        </w:rPr>
        <w:t>低于成本</w:t>
      </w:r>
      <w:r>
        <w:rPr>
          <w:rFonts w:ascii="宋体" w:hAnsi="宋体"/>
          <w:szCs w:val="21"/>
        </w:rPr>
        <w:t>的不正当竞争行为</w:t>
      </w:r>
      <w:r>
        <w:rPr>
          <w:rFonts w:hint="eastAsia" w:ascii="宋体" w:hAnsi="宋体"/>
          <w:szCs w:val="21"/>
        </w:rPr>
        <w:t>，并且</w:t>
      </w:r>
      <w:r>
        <w:rPr>
          <w:rFonts w:ascii="宋体" w:hAnsi="宋体"/>
          <w:szCs w:val="21"/>
        </w:rPr>
        <w:t>不存在以低价谋取成交后提供不良产品</w:t>
      </w:r>
      <w:r>
        <w:rPr>
          <w:rFonts w:hint="eastAsia" w:ascii="宋体" w:hAnsi="宋体"/>
          <w:szCs w:val="21"/>
        </w:rPr>
        <w:t>或者</w:t>
      </w:r>
      <w:r>
        <w:rPr>
          <w:rFonts w:ascii="宋体" w:hAnsi="宋体"/>
          <w:szCs w:val="21"/>
        </w:rPr>
        <w:t>不诚信履约情况</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3、磋商</w:t>
      </w:r>
      <w:r>
        <w:rPr>
          <w:rFonts w:ascii="宋体" w:hAnsi="宋体"/>
          <w:szCs w:val="21"/>
        </w:rPr>
        <w:t>小组认为我方报价低于成本，我方将按照</w:t>
      </w:r>
      <w:r>
        <w:rPr>
          <w:rFonts w:hint="eastAsia" w:ascii="宋体" w:hAnsi="宋体"/>
          <w:szCs w:val="21"/>
        </w:rPr>
        <w:t>磋商</w:t>
      </w:r>
      <w:r>
        <w:rPr>
          <w:rFonts w:ascii="宋体" w:hAnsi="宋体"/>
          <w:szCs w:val="21"/>
        </w:rPr>
        <w:t>小组要求</w:t>
      </w:r>
      <w:r>
        <w:rPr>
          <w:rFonts w:hint="eastAsia" w:ascii="宋体" w:hAnsi="宋体"/>
          <w:szCs w:val="21"/>
        </w:rPr>
        <w:t>积极</w:t>
      </w:r>
      <w:r>
        <w:rPr>
          <w:rFonts w:ascii="宋体" w:hAnsi="宋体"/>
          <w:szCs w:val="21"/>
        </w:rPr>
        <w:t>配合提供相关证明材料</w:t>
      </w:r>
      <w:r>
        <w:rPr>
          <w:rFonts w:hint="eastAsia" w:ascii="宋体" w:hAnsi="宋体"/>
          <w:szCs w:val="21"/>
        </w:rPr>
        <w:t>；并</w:t>
      </w:r>
      <w:r>
        <w:rPr>
          <w:rFonts w:ascii="宋体" w:hAnsi="宋体"/>
          <w:szCs w:val="21"/>
        </w:rPr>
        <w:t>接受</w:t>
      </w:r>
      <w:r>
        <w:rPr>
          <w:rFonts w:hint="eastAsia" w:ascii="宋体" w:hAnsi="宋体"/>
          <w:szCs w:val="21"/>
        </w:rPr>
        <w:t>磋商</w:t>
      </w:r>
      <w:r>
        <w:rPr>
          <w:rFonts w:ascii="宋体" w:hAnsi="宋体"/>
          <w:szCs w:val="21"/>
        </w:rPr>
        <w:t>小组</w:t>
      </w:r>
      <w:r>
        <w:rPr>
          <w:rFonts w:hint="eastAsia" w:ascii="宋体" w:hAnsi="宋体"/>
          <w:szCs w:val="21"/>
        </w:rPr>
        <w:t>的</w:t>
      </w:r>
      <w:r>
        <w:rPr>
          <w:rFonts w:ascii="宋体" w:hAnsi="宋体"/>
          <w:szCs w:val="21"/>
        </w:rPr>
        <w:t>评审认定。</w:t>
      </w:r>
    </w:p>
    <w:p>
      <w:pPr>
        <w:adjustRightInd w:val="0"/>
        <w:snapToGrid w:val="0"/>
        <w:spacing w:line="360" w:lineRule="auto"/>
        <w:ind w:firstLine="420" w:firstLineChars="200"/>
        <w:rPr>
          <w:rFonts w:ascii="宋体" w:hAnsi="宋体"/>
          <w:szCs w:val="21"/>
        </w:rPr>
      </w:pPr>
      <w:r>
        <w:rPr>
          <w:rFonts w:hint="eastAsia" w:ascii="宋体" w:hAnsi="宋体"/>
          <w:szCs w:val="21"/>
        </w:rPr>
        <w:t>4、小数点保留两位。</w:t>
      </w:r>
    </w:p>
    <w:p>
      <w:pPr>
        <w:adjustRightInd w:val="0"/>
        <w:snapToGrid w:val="0"/>
        <w:spacing w:line="360" w:lineRule="auto"/>
        <w:ind w:firstLine="420" w:firstLineChars="200"/>
        <w:rPr>
          <w:rFonts w:ascii="宋体" w:hAnsi="宋体"/>
          <w:szCs w:val="21"/>
        </w:rPr>
      </w:pPr>
      <w:r>
        <w:rPr>
          <w:rFonts w:hint="eastAsia" w:ascii="宋体" w:hAnsi="宋体"/>
          <w:szCs w:val="21"/>
        </w:rPr>
        <w:t>5、该分项报价表总价须与报价汇总表总价保持一致。</w:t>
      </w:r>
    </w:p>
    <w:p>
      <w:pPr>
        <w:pStyle w:val="26"/>
        <w:adjustRightInd w:val="0"/>
        <w:snapToGrid w:val="0"/>
        <w:spacing w:line="360" w:lineRule="auto"/>
        <w:rPr>
          <w:rFonts w:hAnsi="宋体"/>
          <w:b/>
          <w:color w:val="000000"/>
          <w:sz w:val="30"/>
          <w:szCs w:val="30"/>
        </w:rPr>
      </w:pPr>
    </w:p>
    <w:p>
      <w:pPr>
        <w:spacing w:line="500" w:lineRule="exact"/>
        <w:jc w:val="left"/>
        <w:rPr>
          <w:rFonts w:ascii="宋体" w:hAnsi="宋体"/>
          <w:sz w:val="24"/>
        </w:rPr>
      </w:pPr>
      <w:r>
        <w:rPr>
          <w:rFonts w:hint="eastAsia" w:ascii="宋体" w:hAnsi="宋体"/>
          <w:sz w:val="24"/>
        </w:rPr>
        <w:t>供应商全称：</w:t>
      </w:r>
      <w:r>
        <w:rPr>
          <w:rFonts w:hint="eastAsia" w:ascii="宋体" w:hAnsi="宋体"/>
          <w:sz w:val="24"/>
          <w:u w:val="single"/>
        </w:rPr>
        <w:t>　　　</w:t>
      </w:r>
      <w:r>
        <w:rPr>
          <w:rFonts w:ascii="宋体" w:hAnsi="宋体"/>
          <w:sz w:val="24"/>
          <w:u w:val="single"/>
        </w:rPr>
        <w:t xml:space="preserve">              </w:t>
      </w:r>
      <w:r>
        <w:rPr>
          <w:rFonts w:hint="eastAsia" w:ascii="宋体" w:hAnsi="宋体"/>
          <w:sz w:val="24"/>
          <w:u w:val="single"/>
        </w:rPr>
        <w:t>（盖单位公章）</w:t>
      </w:r>
    </w:p>
    <w:p>
      <w:pPr>
        <w:spacing w:line="500" w:lineRule="exact"/>
        <w:jc w:val="left"/>
        <w:rPr>
          <w:rFonts w:ascii="宋体" w:hAnsi="宋体"/>
          <w:sz w:val="24"/>
          <w:u w:val="single"/>
        </w:rPr>
      </w:pPr>
      <w:r>
        <w:rPr>
          <w:rFonts w:hint="eastAsia" w:ascii="宋体" w:hAnsi="宋体"/>
          <w:sz w:val="24"/>
        </w:rPr>
        <w:t>法定代表人（负责人）或授权代表：</w:t>
      </w:r>
      <w:r>
        <w:rPr>
          <w:rFonts w:hint="eastAsia" w:ascii="宋体" w:hAnsi="宋体"/>
          <w:sz w:val="24"/>
          <w:u w:val="single"/>
        </w:rPr>
        <w:t>　　　　　　　　　　　　　　（签字）</w:t>
      </w:r>
    </w:p>
    <w:p>
      <w:pPr>
        <w:spacing w:line="500" w:lineRule="exact"/>
        <w:jc w:val="left"/>
        <w:rPr>
          <w:rFonts w:ascii="宋体" w:hAnsi="宋体"/>
          <w:sz w:val="24"/>
        </w:rPr>
      </w:pPr>
      <w:r>
        <w:rPr>
          <w:rFonts w:hint="eastAsia" w:ascii="宋体" w:hAnsi="宋体"/>
          <w:sz w:val="24"/>
        </w:rPr>
        <w:t>日期：</w:t>
      </w:r>
      <w:r>
        <w:rPr>
          <w:rFonts w:hint="eastAsia" w:ascii="宋体" w:hAnsi="宋体"/>
          <w:sz w:val="24"/>
          <w:u w:val="single"/>
        </w:rPr>
        <w:t>　　　　　年　　　月　　　　日</w:t>
      </w:r>
    </w:p>
    <w:p>
      <w:pPr>
        <w:pStyle w:val="26"/>
        <w:adjustRightInd w:val="0"/>
        <w:snapToGrid w:val="0"/>
        <w:spacing w:line="360" w:lineRule="auto"/>
        <w:ind w:firstLine="630" w:firstLineChars="196"/>
        <w:rPr>
          <w:rFonts w:hAnsi="宋体" w:cs="黑体"/>
          <w:b/>
          <w:bCs/>
          <w:color w:val="000000"/>
          <w:sz w:val="32"/>
          <w:szCs w:val="32"/>
        </w:rPr>
      </w:pPr>
    </w:p>
    <w:p>
      <w:pPr>
        <w:pStyle w:val="26"/>
        <w:adjustRightInd w:val="0"/>
        <w:snapToGrid w:val="0"/>
        <w:spacing w:line="360" w:lineRule="auto"/>
        <w:ind w:firstLine="590" w:firstLineChars="196"/>
        <w:rPr>
          <w:rFonts w:hAnsi="宋体"/>
          <w:b/>
          <w:color w:val="000000"/>
          <w:sz w:val="30"/>
          <w:szCs w:val="30"/>
        </w:rPr>
      </w:pPr>
    </w:p>
    <w:p>
      <w:pPr>
        <w:pStyle w:val="26"/>
        <w:adjustRightInd w:val="0"/>
        <w:snapToGrid w:val="0"/>
        <w:spacing w:line="360" w:lineRule="auto"/>
        <w:ind w:firstLine="590" w:firstLineChars="196"/>
        <w:rPr>
          <w:rFonts w:hAnsi="宋体" w:cs="宋体"/>
          <w:b/>
          <w:bCs/>
          <w:sz w:val="28"/>
          <w:szCs w:val="28"/>
        </w:rPr>
      </w:pPr>
      <w:r>
        <w:rPr>
          <w:rFonts w:hAnsi="宋体"/>
          <w:b/>
          <w:color w:val="000000"/>
          <w:sz w:val="30"/>
          <w:szCs w:val="30"/>
        </w:rPr>
        <w:br w:type="page"/>
      </w:r>
    </w:p>
    <w:p>
      <w:pPr>
        <w:pStyle w:val="26"/>
        <w:adjustRightInd w:val="0"/>
        <w:snapToGrid w:val="0"/>
        <w:spacing w:line="360" w:lineRule="auto"/>
        <w:ind w:firstLine="551" w:firstLineChars="196"/>
        <w:jc w:val="center"/>
        <w:rPr>
          <w:rFonts w:hAnsi="宋体" w:cs="宋体"/>
          <w:b/>
          <w:bCs/>
          <w:sz w:val="28"/>
          <w:szCs w:val="28"/>
        </w:rPr>
      </w:pPr>
      <w:r>
        <w:rPr>
          <w:rFonts w:hint="eastAsia" w:hAnsi="宋体" w:cs="宋体"/>
          <w:b/>
          <w:bCs/>
          <w:sz w:val="28"/>
          <w:szCs w:val="28"/>
        </w:rPr>
        <w:t>三、</w:t>
      </w:r>
      <w:bookmarkStart w:id="187" w:name="_Toc518487378"/>
      <w:r>
        <w:rPr>
          <w:rFonts w:hint="eastAsia" w:hAnsi="宋体" w:cs="宋体"/>
          <w:b/>
          <w:bCs/>
          <w:sz w:val="28"/>
          <w:szCs w:val="28"/>
        </w:rPr>
        <w:t>供应商认为有必要提供的其他资料</w:t>
      </w:r>
      <w:bookmarkEnd w:id="187"/>
    </w:p>
    <w:p>
      <w:pPr>
        <w:pStyle w:val="26"/>
        <w:adjustRightInd w:val="0"/>
        <w:snapToGrid w:val="0"/>
        <w:spacing w:line="360" w:lineRule="auto"/>
        <w:ind w:firstLine="411" w:firstLineChars="196"/>
        <w:rPr>
          <w:rFonts w:hAnsi="宋体" w:cs="黑体"/>
          <w:bCs/>
          <w:szCs w:val="21"/>
        </w:rPr>
      </w:pPr>
      <w:r>
        <w:rPr>
          <w:rFonts w:hint="eastAsia" w:hAnsi="宋体" w:cs="黑体"/>
          <w:bCs/>
          <w:szCs w:val="21"/>
        </w:rPr>
        <w:t>如：</w:t>
      </w:r>
      <w:r>
        <w:rPr>
          <w:rFonts w:hint="eastAsia" w:hAnsi="宋体"/>
          <w:szCs w:val="21"/>
        </w:rPr>
        <w:t>供应商的报价明显低于其他通过符合性审查供应商的报价，有可能影响产品质量或者不能诚信履约的</w:t>
      </w:r>
      <w:r>
        <w:rPr>
          <w:rFonts w:hint="eastAsia" w:hAnsi="宋体" w:cs="黑体"/>
          <w:bCs/>
          <w:szCs w:val="21"/>
        </w:rPr>
        <w:t>，</w:t>
      </w:r>
      <w:r>
        <w:rPr>
          <w:rFonts w:hint="eastAsia" w:hAnsi="宋体"/>
          <w:szCs w:val="21"/>
        </w:rPr>
        <w:t>磋商小组应当要求其在评审现场规定时间内提供报价合理性的书面说明，必要时提供相关证明材料。</w:t>
      </w:r>
    </w:p>
    <w:p>
      <w:pPr>
        <w:pStyle w:val="26"/>
        <w:adjustRightInd w:val="0"/>
        <w:snapToGrid w:val="0"/>
        <w:spacing w:line="360" w:lineRule="auto"/>
        <w:ind w:firstLine="627" w:firstLineChars="196"/>
        <w:rPr>
          <w:rFonts w:hAnsi="宋体" w:cs="黑体"/>
          <w:bCs/>
          <w:sz w:val="32"/>
          <w:szCs w:val="32"/>
        </w:rPr>
      </w:pPr>
    </w:p>
    <w:p>
      <w:pPr>
        <w:pStyle w:val="26"/>
        <w:adjustRightInd w:val="0"/>
        <w:snapToGrid w:val="0"/>
        <w:spacing w:line="360" w:lineRule="auto"/>
        <w:ind w:firstLine="627" w:firstLineChars="196"/>
        <w:rPr>
          <w:rFonts w:hAnsi="宋体" w:cs="黑体"/>
          <w:bCs/>
          <w:sz w:val="32"/>
          <w:szCs w:val="32"/>
        </w:rPr>
      </w:pPr>
    </w:p>
    <w:p>
      <w:pPr>
        <w:pStyle w:val="26"/>
        <w:spacing w:line="500" w:lineRule="exact"/>
        <w:jc w:val="center"/>
        <w:rPr>
          <w:rFonts w:hAnsi="宋体"/>
          <w:b/>
          <w:bCs/>
          <w:sz w:val="30"/>
          <w:szCs w:val="30"/>
        </w:rPr>
      </w:pPr>
      <w:r>
        <w:rPr>
          <w:rFonts w:hint="eastAsia" w:hAnsi="宋体"/>
          <w:b/>
          <w:bCs/>
          <w:sz w:val="30"/>
          <w:szCs w:val="30"/>
        </w:rPr>
        <w:t xml:space="preserve"> </w:t>
      </w:r>
    </w:p>
    <w:p>
      <w:pPr>
        <w:pStyle w:val="26"/>
        <w:spacing w:line="500" w:lineRule="exact"/>
        <w:jc w:val="center"/>
        <w:rPr>
          <w:rFonts w:hAnsi="宋体"/>
          <w:b/>
          <w:bCs/>
          <w:sz w:val="30"/>
          <w:szCs w:val="30"/>
        </w:rPr>
      </w:pPr>
    </w:p>
    <w:p>
      <w:pPr>
        <w:pStyle w:val="43"/>
      </w:pPr>
      <w:r>
        <w:rPr>
          <w:rFonts w:hAnsi="宋体"/>
          <w:sz w:val="30"/>
          <w:szCs w:val="30"/>
        </w:rPr>
        <w:br w:type="page"/>
      </w:r>
      <w:bookmarkEnd w:id="138"/>
      <w:bookmarkEnd w:id="139"/>
      <w:bookmarkEnd w:id="140"/>
      <w:bookmarkStart w:id="188" w:name="_Toc112257072"/>
      <w:bookmarkStart w:id="189" w:name="_Toc518487382"/>
      <w:r>
        <w:rPr>
          <w:rFonts w:hint="eastAsia"/>
        </w:rPr>
        <w:t>第四章  采购需求</w:t>
      </w:r>
      <w:bookmarkEnd w:id="188"/>
    </w:p>
    <w:p>
      <w:pPr>
        <w:pStyle w:val="5"/>
      </w:pPr>
      <w:bookmarkStart w:id="190" w:name="_Toc112234530"/>
      <w:bookmarkStart w:id="191" w:name="_Toc112257073"/>
      <w:r>
        <w:rPr>
          <w:rFonts w:hint="eastAsia"/>
        </w:rPr>
        <w:t>一、项目概况</w:t>
      </w:r>
      <w:bookmarkEnd w:id="190"/>
      <w:bookmarkEnd w:id="191"/>
    </w:p>
    <w:p>
      <w:pPr>
        <w:pStyle w:val="663"/>
        <w:ind w:firstLine="480" w:firstLineChars="200"/>
      </w:pPr>
      <w:r>
        <w:rPr>
          <w:rFonts w:hint="eastAsia"/>
        </w:rPr>
        <w:t>本次U</w:t>
      </w:r>
      <w:r>
        <w:t>PS</w:t>
      </w:r>
      <w:r>
        <w:rPr>
          <w:rFonts w:hint="eastAsia"/>
        </w:rPr>
        <w:t>电源系统采购的U</w:t>
      </w:r>
      <w:r>
        <w:t>PS</w:t>
      </w:r>
      <w:r>
        <w:rPr>
          <w:rFonts w:hint="eastAsia"/>
        </w:rPr>
        <w:t>电源主机，运用N+X冗余设计理念，</w:t>
      </w:r>
      <w:r>
        <w:rPr>
          <w:rFonts w:hint="eastAsia"/>
          <w:color w:val="FF0000"/>
        </w:rPr>
        <w:t>配置模块数不低于≥</w:t>
      </w:r>
      <w:r>
        <w:rPr>
          <w:rFonts w:hint="eastAsia"/>
          <w:color w:val="FF0000"/>
          <w:lang w:val="en-US" w:eastAsia="zh-CN"/>
        </w:rPr>
        <w:t>6</w:t>
      </w:r>
      <w:r>
        <w:rPr>
          <w:rFonts w:hint="eastAsia"/>
          <w:color w:val="FF0000"/>
        </w:rPr>
        <w:t>个，单个模块≥50KVA，配置电池1</w:t>
      </w:r>
      <w:r>
        <w:rPr>
          <w:color w:val="FF0000"/>
        </w:rPr>
        <w:t>2</w:t>
      </w:r>
      <w:r>
        <w:rPr>
          <w:rFonts w:hint="eastAsia"/>
          <w:color w:val="FF0000"/>
        </w:rPr>
        <w:t>0只及连接设备的辅材一批</w:t>
      </w:r>
      <w:r>
        <w:rPr>
          <w:rFonts w:hint="eastAsia"/>
        </w:rPr>
        <w:t>，并对整个系统进行安装调试。</w:t>
      </w:r>
    </w:p>
    <w:p>
      <w:pPr>
        <w:pStyle w:val="5"/>
      </w:pPr>
      <w:bookmarkStart w:id="192" w:name="_Toc112257074"/>
      <w:r>
        <w:rPr>
          <w:rFonts w:hint="eastAsia"/>
        </w:rPr>
        <w:t>二、采购清单</w:t>
      </w:r>
      <w:bookmarkEnd w:id="192"/>
    </w:p>
    <w:tbl>
      <w:tblPr>
        <w:tblStyle w:val="47"/>
        <w:tblW w:w="10505" w:type="dxa"/>
        <w:jc w:val="center"/>
        <w:tblLayout w:type="autofit"/>
        <w:tblCellMar>
          <w:top w:w="0" w:type="dxa"/>
          <w:left w:w="108" w:type="dxa"/>
          <w:bottom w:w="0" w:type="dxa"/>
          <w:right w:w="108" w:type="dxa"/>
        </w:tblCellMar>
      </w:tblPr>
      <w:tblGrid>
        <w:gridCol w:w="704"/>
        <w:gridCol w:w="992"/>
        <w:gridCol w:w="1216"/>
        <w:gridCol w:w="5670"/>
        <w:gridCol w:w="851"/>
        <w:gridCol w:w="850"/>
        <w:gridCol w:w="222"/>
      </w:tblGrid>
      <w:tr>
        <w:tblPrEx>
          <w:tblCellMar>
            <w:top w:w="0" w:type="dxa"/>
            <w:left w:w="108" w:type="dxa"/>
            <w:bottom w:w="0" w:type="dxa"/>
            <w:right w:w="108" w:type="dxa"/>
          </w:tblCellMar>
        </w:tblPrEx>
        <w:trPr>
          <w:gridAfter w:val="1"/>
          <w:wAfter w:w="222" w:type="dxa"/>
          <w:trHeight w:val="466"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品名</w:t>
            </w:r>
          </w:p>
        </w:tc>
        <w:tc>
          <w:tcPr>
            <w:tcW w:w="12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规格</w:t>
            </w:r>
          </w:p>
        </w:tc>
        <w:tc>
          <w:tcPr>
            <w:tcW w:w="56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技术参数</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数量</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w:t>
            </w:r>
          </w:p>
        </w:tc>
      </w:tr>
      <w:tr>
        <w:tblPrEx>
          <w:tblCellMar>
            <w:top w:w="0" w:type="dxa"/>
            <w:left w:w="108" w:type="dxa"/>
            <w:bottom w:w="0" w:type="dxa"/>
            <w:right w:w="108" w:type="dxa"/>
          </w:tblCellMar>
        </w:tblPrEx>
        <w:trPr>
          <w:trHeight w:val="558" w:hRule="atLeast"/>
          <w:jc w:val="center"/>
        </w:trPr>
        <w:tc>
          <w:tcPr>
            <w:tcW w:w="704"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992"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UPS电源</w:t>
            </w:r>
          </w:p>
        </w:tc>
        <w:tc>
          <w:tcPr>
            <w:tcW w:w="1216"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300KVA</w:t>
            </w:r>
          </w:p>
        </w:tc>
        <w:tc>
          <w:tcPr>
            <w:tcW w:w="5670" w:type="dxa"/>
            <w:tcBorders>
              <w:top w:val="nil"/>
              <w:left w:val="single" w:color="auto" w:sz="4" w:space="0"/>
              <w:bottom w:val="single" w:color="000000"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模块化UPS，N+X 冗余设计，单个模块容量≥50kVA，本次配置数量≥6个，总功率≥300KVA。</w:t>
            </w:r>
          </w:p>
        </w:tc>
        <w:tc>
          <w:tcPr>
            <w:tcW w:w="851"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222"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12"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蓄电池</w:t>
            </w:r>
          </w:p>
        </w:tc>
        <w:tc>
          <w:tcPr>
            <w:tcW w:w="12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12V200AH</w:t>
            </w:r>
          </w:p>
        </w:tc>
        <w:tc>
          <w:tcPr>
            <w:tcW w:w="567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电池电压：12V，容量：200AH（20HR）。</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222" w:type="dxa"/>
            <w:vAlign w:val="center"/>
          </w:tcPr>
          <w:p>
            <w:pPr>
              <w:widowControl/>
              <w:rPr>
                <w:rFonts w:ascii="宋体" w:hAnsi="宋体"/>
                <w:kern w:val="0"/>
                <w:sz w:val="20"/>
                <w:szCs w:val="20"/>
              </w:rPr>
            </w:pPr>
          </w:p>
        </w:tc>
      </w:tr>
      <w:tr>
        <w:tblPrEx>
          <w:tblCellMar>
            <w:top w:w="0" w:type="dxa"/>
            <w:left w:w="108" w:type="dxa"/>
            <w:bottom w:w="0" w:type="dxa"/>
            <w:right w:w="108" w:type="dxa"/>
          </w:tblCellMar>
        </w:tblPrEx>
        <w:trPr>
          <w:trHeight w:val="66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电池开关箱</w:t>
            </w:r>
          </w:p>
        </w:tc>
        <w:tc>
          <w:tcPr>
            <w:tcW w:w="12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630A</w:t>
            </w:r>
          </w:p>
        </w:tc>
        <w:tc>
          <w:tcPr>
            <w:tcW w:w="567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总开关3P630A 1个，支路开关3P300A 3个。</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222" w:type="dxa"/>
            <w:vAlign w:val="center"/>
          </w:tcPr>
          <w:p>
            <w:pPr>
              <w:widowControl/>
              <w:rPr>
                <w:rFonts w:ascii="宋体" w:hAnsi="宋体"/>
                <w:kern w:val="0"/>
                <w:sz w:val="20"/>
                <w:szCs w:val="20"/>
              </w:rPr>
            </w:pPr>
          </w:p>
        </w:tc>
      </w:tr>
      <w:tr>
        <w:tblPrEx>
          <w:tblCellMar>
            <w:top w:w="0" w:type="dxa"/>
            <w:left w:w="108" w:type="dxa"/>
            <w:bottom w:w="0" w:type="dxa"/>
            <w:right w:w="108" w:type="dxa"/>
          </w:tblCellMar>
        </w:tblPrEx>
        <w:trPr>
          <w:trHeight w:val="738"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铜排</w:t>
            </w:r>
          </w:p>
        </w:tc>
        <w:tc>
          <w:tcPr>
            <w:tcW w:w="12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定制</w:t>
            </w:r>
          </w:p>
        </w:tc>
        <w:tc>
          <w:tcPr>
            <w:tcW w:w="567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ascii="宋体" w:hAnsi="宋体" w:cs="宋体"/>
                <w:color w:val="000000"/>
                <w:kern w:val="0"/>
                <w:sz w:val="20"/>
                <w:szCs w:val="20"/>
              </w:rPr>
              <w:t>40*4含电池连接铜排。</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222" w:type="dxa"/>
            <w:vAlign w:val="center"/>
          </w:tcPr>
          <w:p>
            <w:pPr>
              <w:widowControl/>
              <w:rPr>
                <w:rFonts w:ascii="宋体" w:hAnsi="宋体"/>
                <w:kern w:val="0"/>
                <w:sz w:val="20"/>
                <w:szCs w:val="20"/>
              </w:rPr>
            </w:pPr>
          </w:p>
        </w:tc>
      </w:tr>
      <w:tr>
        <w:tblPrEx>
          <w:tblCellMar>
            <w:top w:w="0" w:type="dxa"/>
            <w:left w:w="108" w:type="dxa"/>
            <w:bottom w:w="0" w:type="dxa"/>
            <w:right w:w="108" w:type="dxa"/>
          </w:tblCellMar>
        </w:tblPrEx>
        <w:trPr>
          <w:trHeight w:val="70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电线</w:t>
            </w:r>
          </w:p>
        </w:tc>
        <w:tc>
          <w:tcPr>
            <w:tcW w:w="12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BVR 185</w:t>
            </w:r>
          </w:p>
        </w:tc>
        <w:tc>
          <w:tcPr>
            <w:tcW w:w="567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ascii="宋体" w:hAnsi="宋体" w:cs="宋体"/>
                <w:color w:val="000000"/>
                <w:kern w:val="0"/>
                <w:sz w:val="20"/>
                <w:szCs w:val="20"/>
              </w:rPr>
              <w:t>1.含185平方电池间跨层线、电池到电池开关连接线，电池开关到主机连接线等。</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100</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222" w:type="dxa"/>
            <w:vAlign w:val="center"/>
          </w:tcPr>
          <w:p>
            <w:pPr>
              <w:widowControl/>
              <w:rPr>
                <w:rFonts w:ascii="宋体" w:hAnsi="宋体"/>
                <w:kern w:val="0"/>
                <w:sz w:val="20"/>
                <w:szCs w:val="20"/>
              </w:rPr>
            </w:pPr>
          </w:p>
        </w:tc>
      </w:tr>
      <w:tr>
        <w:tblPrEx>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电池架</w:t>
            </w:r>
          </w:p>
        </w:tc>
        <w:tc>
          <w:tcPr>
            <w:tcW w:w="12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BT-40</w:t>
            </w:r>
          </w:p>
        </w:tc>
        <w:tc>
          <w:tcPr>
            <w:tcW w:w="567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ascii="宋体" w:hAnsi="宋体" w:cs="宋体"/>
                <w:color w:val="000000"/>
                <w:kern w:val="0"/>
                <w:sz w:val="20"/>
                <w:szCs w:val="20"/>
              </w:rPr>
              <w:t>2.铜鼻子、五指套、胶布、扎带、热缩管等。"</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222" w:type="dxa"/>
            <w:vAlign w:val="center"/>
          </w:tcPr>
          <w:p>
            <w:pPr>
              <w:widowControl/>
              <w:rPr>
                <w:rFonts w:ascii="宋体" w:hAnsi="宋体"/>
                <w:kern w:val="0"/>
                <w:sz w:val="20"/>
                <w:szCs w:val="20"/>
              </w:rPr>
            </w:pPr>
          </w:p>
        </w:tc>
      </w:tr>
      <w:tr>
        <w:tblPrEx>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短信告警器</w:t>
            </w:r>
          </w:p>
        </w:tc>
        <w:tc>
          <w:tcPr>
            <w:tcW w:w="12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定制</w:t>
            </w:r>
          </w:p>
        </w:tc>
        <w:tc>
          <w:tcPr>
            <w:tcW w:w="5670"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0"/>
                <w:szCs w:val="20"/>
              </w:rPr>
            </w:pPr>
            <w:r>
              <w:rPr>
                <w:rFonts w:ascii="宋体" w:hAnsi="宋体" w:cs="宋体"/>
                <w:color w:val="000000"/>
                <w:kern w:val="0"/>
                <w:sz w:val="20"/>
                <w:szCs w:val="20"/>
              </w:rPr>
              <w:t>把UPS电源的告警信息及时发送到管理人员的手机上。</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222" w:type="dxa"/>
            <w:vAlign w:val="center"/>
          </w:tcPr>
          <w:p>
            <w:pPr>
              <w:widowControl/>
              <w:rPr>
                <w:rFonts w:ascii="宋体" w:hAnsi="宋体"/>
                <w:kern w:val="0"/>
                <w:sz w:val="20"/>
                <w:szCs w:val="20"/>
              </w:rPr>
            </w:pPr>
          </w:p>
        </w:tc>
      </w:tr>
      <w:tr>
        <w:tblPrEx>
          <w:tblCellMar>
            <w:top w:w="0" w:type="dxa"/>
            <w:left w:w="108" w:type="dxa"/>
            <w:bottom w:w="0" w:type="dxa"/>
            <w:right w:w="108" w:type="dxa"/>
          </w:tblCellMar>
        </w:tblPrEx>
        <w:trPr>
          <w:trHeight w:val="590" w:hRule="atLeast"/>
          <w:jc w:val="center"/>
        </w:trPr>
        <w:tc>
          <w:tcPr>
            <w:tcW w:w="70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服务费</w:t>
            </w:r>
          </w:p>
        </w:tc>
        <w:tc>
          <w:tcPr>
            <w:tcW w:w="12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定制</w:t>
            </w:r>
          </w:p>
        </w:tc>
        <w:tc>
          <w:tcPr>
            <w:tcW w:w="567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ascii="宋体" w:hAnsi="宋体" w:cs="宋体"/>
                <w:color w:val="000000"/>
                <w:kern w:val="0"/>
                <w:sz w:val="20"/>
                <w:szCs w:val="20"/>
              </w:rPr>
              <w:t>产品的安装和调试、整套产品的运输、搬运、安装和调试</w:t>
            </w:r>
            <w:r>
              <w:rPr>
                <w:rFonts w:hint="eastAsia" w:ascii="宋体" w:hAnsi="宋体" w:cs="宋体"/>
                <w:color w:val="000000"/>
                <w:kern w:val="0"/>
                <w:sz w:val="20"/>
                <w:szCs w:val="20"/>
              </w:rPr>
              <w:t>,技术支持高低压室总箱及各楼层管道井支箱安装调试，确保系统正常运行</w:t>
            </w:r>
            <w:r>
              <w:rPr>
                <w:rFonts w:ascii="宋体" w:hAnsi="宋体" w:cs="宋体"/>
                <w:color w:val="000000"/>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222" w:type="dxa"/>
            <w:vAlign w:val="center"/>
          </w:tcPr>
          <w:p>
            <w:pPr>
              <w:widowControl/>
              <w:rPr>
                <w:rFonts w:ascii="宋体" w:hAnsi="宋体"/>
                <w:kern w:val="0"/>
                <w:sz w:val="20"/>
                <w:szCs w:val="20"/>
              </w:rPr>
            </w:pPr>
          </w:p>
        </w:tc>
      </w:tr>
    </w:tbl>
    <w:p>
      <w:bookmarkStart w:id="193" w:name="_Toc112234532"/>
      <w:bookmarkStart w:id="194" w:name="_Toc31206"/>
      <w:bookmarkStart w:id="195" w:name="_Toc7904"/>
      <w:bookmarkStart w:id="196" w:name="_Toc7968"/>
    </w:p>
    <w:p>
      <w:pPr>
        <w:pStyle w:val="5"/>
      </w:pPr>
      <w:r>
        <w:br w:type="page"/>
      </w:r>
      <w:bookmarkStart w:id="197" w:name="_Toc112257075"/>
      <w:r>
        <w:rPr>
          <w:rFonts w:hint="eastAsia"/>
        </w:rPr>
        <w:t>三、技术参数要求：</w:t>
      </w:r>
      <w:bookmarkEnd w:id="193"/>
      <w:bookmarkEnd w:id="194"/>
      <w:bookmarkEnd w:id="197"/>
    </w:p>
    <w:tbl>
      <w:tblPr>
        <w:tblStyle w:val="47"/>
        <w:tblW w:w="11009" w:type="dxa"/>
        <w:jc w:val="center"/>
        <w:tblLayout w:type="fixed"/>
        <w:tblCellMar>
          <w:top w:w="0" w:type="dxa"/>
          <w:left w:w="108" w:type="dxa"/>
          <w:bottom w:w="0" w:type="dxa"/>
          <w:right w:w="108" w:type="dxa"/>
        </w:tblCellMar>
      </w:tblPr>
      <w:tblGrid>
        <w:gridCol w:w="567"/>
        <w:gridCol w:w="1134"/>
        <w:gridCol w:w="993"/>
        <w:gridCol w:w="6662"/>
        <w:gridCol w:w="709"/>
        <w:gridCol w:w="708"/>
        <w:gridCol w:w="236"/>
      </w:tblGrid>
      <w:tr>
        <w:tblPrEx>
          <w:tblCellMar>
            <w:top w:w="0" w:type="dxa"/>
            <w:left w:w="108" w:type="dxa"/>
            <w:bottom w:w="0" w:type="dxa"/>
            <w:right w:w="108" w:type="dxa"/>
          </w:tblCellMar>
        </w:tblPrEx>
        <w:trPr>
          <w:gridAfter w:val="1"/>
          <w:wAfter w:w="236" w:type="dxa"/>
          <w:trHeight w:val="5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r>
              <w:rPr>
                <w:rFonts w:hint="eastAsia"/>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r>
              <w:rPr>
                <w:rFonts w:hint="eastAsia"/>
              </w:rPr>
              <w:t>品名</w:t>
            </w:r>
          </w:p>
        </w:tc>
        <w:tc>
          <w:tcPr>
            <w:tcW w:w="993" w:type="dxa"/>
            <w:tcBorders>
              <w:top w:val="single" w:color="auto" w:sz="4" w:space="0"/>
              <w:left w:val="nil"/>
              <w:bottom w:val="single" w:color="auto" w:sz="4" w:space="0"/>
              <w:right w:val="single" w:color="auto" w:sz="4" w:space="0"/>
            </w:tcBorders>
            <w:shd w:val="clear" w:color="auto" w:fill="auto"/>
            <w:noWrap/>
            <w:vAlign w:val="center"/>
          </w:tcPr>
          <w:p>
            <w:r>
              <w:rPr>
                <w:rFonts w:hint="eastAsia"/>
              </w:rPr>
              <w:t>规格</w:t>
            </w:r>
          </w:p>
        </w:tc>
        <w:tc>
          <w:tcPr>
            <w:tcW w:w="6662" w:type="dxa"/>
            <w:tcBorders>
              <w:top w:val="single" w:color="auto" w:sz="4" w:space="0"/>
              <w:left w:val="nil"/>
              <w:bottom w:val="single" w:color="auto" w:sz="4" w:space="0"/>
              <w:right w:val="single" w:color="auto" w:sz="4" w:space="0"/>
            </w:tcBorders>
            <w:shd w:val="clear" w:color="auto" w:fill="auto"/>
            <w:noWrap/>
            <w:vAlign w:val="center"/>
          </w:tcPr>
          <w:p>
            <w:r>
              <w:rPr>
                <w:rFonts w:hint="eastAsia"/>
              </w:rPr>
              <w:t>技术参数</w:t>
            </w:r>
          </w:p>
        </w:tc>
        <w:tc>
          <w:tcPr>
            <w:tcW w:w="709" w:type="dxa"/>
            <w:tcBorders>
              <w:top w:val="single" w:color="auto" w:sz="4" w:space="0"/>
              <w:left w:val="nil"/>
              <w:bottom w:val="single" w:color="auto" w:sz="4" w:space="0"/>
              <w:right w:val="single" w:color="auto" w:sz="4" w:space="0"/>
            </w:tcBorders>
            <w:shd w:val="clear" w:color="auto" w:fill="auto"/>
            <w:noWrap/>
            <w:vAlign w:val="center"/>
          </w:tcPr>
          <w:p>
            <w:r>
              <w:rPr>
                <w:rFonts w:hint="eastAsia"/>
              </w:rPr>
              <w:t>数量</w:t>
            </w:r>
          </w:p>
        </w:tc>
        <w:tc>
          <w:tcPr>
            <w:tcW w:w="708" w:type="dxa"/>
            <w:tcBorders>
              <w:top w:val="single" w:color="auto" w:sz="4" w:space="0"/>
              <w:left w:val="nil"/>
              <w:bottom w:val="single" w:color="auto" w:sz="4" w:space="0"/>
              <w:right w:val="single" w:color="auto" w:sz="4" w:space="0"/>
            </w:tcBorders>
            <w:shd w:val="clear" w:color="auto" w:fill="auto"/>
            <w:noWrap/>
            <w:vAlign w:val="center"/>
          </w:tcPr>
          <w:p>
            <w:r>
              <w:rPr>
                <w:rFonts w:hint="eastAsia"/>
              </w:rPr>
              <w:t>单位</w:t>
            </w:r>
          </w:p>
        </w:tc>
      </w:tr>
      <w:tr>
        <w:tblPrEx>
          <w:tblCellMar>
            <w:top w:w="0" w:type="dxa"/>
            <w:left w:w="108" w:type="dxa"/>
            <w:bottom w:w="0" w:type="dxa"/>
            <w:right w:w="108" w:type="dxa"/>
          </w:tblCellMar>
        </w:tblPrEx>
        <w:trPr>
          <w:gridAfter w:val="1"/>
          <w:wAfter w:w="236" w:type="dxa"/>
          <w:trHeight w:val="3251" w:hRule="atLeast"/>
          <w:jc w:val="center"/>
        </w:trPr>
        <w:tc>
          <w:tcPr>
            <w:tcW w:w="567" w:type="dxa"/>
            <w:vMerge w:val="restart"/>
            <w:tcBorders>
              <w:top w:val="nil"/>
              <w:left w:val="single" w:color="auto" w:sz="4" w:space="0"/>
              <w:bottom w:val="single" w:color="000000" w:sz="4" w:space="0"/>
              <w:right w:val="single" w:color="auto" w:sz="4" w:space="0"/>
            </w:tcBorders>
            <w:shd w:val="clear" w:color="auto" w:fill="auto"/>
            <w:vAlign w:val="center"/>
          </w:tcPr>
          <w:p>
            <w:r>
              <w:rPr>
                <w:rFonts w:hint="eastAsia"/>
              </w:rPr>
              <w:t>1</w:t>
            </w: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r>
              <w:rPr>
                <w:rFonts w:hint="eastAsia"/>
              </w:rPr>
              <w:t>UPS电源</w:t>
            </w:r>
          </w:p>
        </w:tc>
        <w:tc>
          <w:tcPr>
            <w:tcW w:w="993" w:type="dxa"/>
            <w:vMerge w:val="restart"/>
            <w:tcBorders>
              <w:top w:val="nil"/>
              <w:left w:val="single" w:color="auto" w:sz="4" w:space="0"/>
              <w:bottom w:val="single" w:color="000000" w:sz="4" w:space="0"/>
              <w:right w:val="single" w:color="auto" w:sz="4" w:space="0"/>
            </w:tcBorders>
            <w:shd w:val="clear" w:color="auto" w:fill="auto"/>
            <w:vAlign w:val="center"/>
          </w:tcPr>
          <w:p>
            <w:r>
              <w:rPr>
                <w:rFonts w:hint="eastAsia"/>
              </w:rPr>
              <w:t>300</w:t>
            </w:r>
            <w:r>
              <w:t>KVA</w:t>
            </w:r>
          </w:p>
        </w:tc>
        <w:tc>
          <w:tcPr>
            <w:tcW w:w="6662" w:type="dxa"/>
            <w:vMerge w:val="restart"/>
            <w:tcBorders>
              <w:top w:val="nil"/>
              <w:left w:val="single" w:color="auto" w:sz="4" w:space="0"/>
              <w:bottom w:val="single" w:color="000000" w:sz="4" w:space="0"/>
              <w:right w:val="single" w:color="auto" w:sz="4" w:space="0"/>
            </w:tcBorders>
            <w:shd w:val="clear" w:color="auto" w:fill="auto"/>
            <w:vAlign w:val="center"/>
          </w:tcPr>
          <w:p>
            <w:r>
              <w:rPr>
                <w:rFonts w:hint="eastAsia"/>
              </w:rPr>
              <w:t>1. ※</w:t>
            </w:r>
            <w:r>
              <w:t xml:space="preserve"> </w:t>
            </w:r>
            <w:r>
              <w:rPr>
                <w:rFonts w:hint="eastAsia"/>
              </w:rPr>
              <w:t>UPS 主机基本要求为：模块化UPS，N+X 冗余设计，单个模块容量≥50kVA，本次配置数量≥6个，总功率≥300KVA。单个功率模块高度不超过 3U。要求提供原厂彩页证明文件扫描件或复印件加盖投标人鲜章。</w:t>
            </w:r>
          </w:p>
          <w:p>
            <w:r>
              <w:rPr>
                <w:rFonts w:hint="eastAsia"/>
              </w:rPr>
              <w:t>2. ★模块化UPS 采用集中旁路，避免分散旁路出现电流不均衡、不可控引起故障；且要求旁路具有独立接线和开关控制，提高供电可靠性。</w:t>
            </w:r>
          </w:p>
          <w:p>
            <w:r>
              <w:rPr>
                <w:rFonts w:hint="eastAsia"/>
              </w:rPr>
              <w:t>3. ★输入电压范围：290V~475V，输入电压宽，适应恶劣电网环境。</w:t>
            </w:r>
          </w:p>
          <w:p>
            <w:r>
              <w:rPr>
                <w:rFonts w:hint="eastAsia"/>
              </w:rPr>
              <w:t>4.▲模块化 UPS 应具备智能发电机管理功能：当前端市电停电，可由 UPS发送指令启动发电机；重新定义发电机和 UPS 配比，无需额外加大发电机功率，降低用户投资成本。要求提供生产厂家针对该功能设置界面的证明材料扫描件或复印件加盖投标人鲜章。</w:t>
            </w:r>
          </w:p>
          <w:p>
            <w:r>
              <w:rPr>
                <w:rFonts w:hint="eastAsia"/>
              </w:rPr>
              <w:t>5.▲绿色环保，输入功率因数：100%：≥0.998，50%：≥0.995。输入电流谐波成分：100%≤2%，50%≤3%。提供泰尔检测报告证明扫描件或复印件加盖投标人鲜章。</w:t>
            </w:r>
          </w:p>
          <w:p>
            <w:r>
              <w:rPr>
                <w:rFonts w:hint="eastAsia"/>
              </w:rPr>
              <w:t>6.具备无主从自适应并联功能，可多台扩容并联或N+1 并联冗余。最大并联数量≥4 台。</w:t>
            </w:r>
          </w:p>
          <w:p>
            <w:r>
              <w:rPr>
                <w:rFonts w:hint="eastAsia"/>
              </w:rPr>
              <w:t>7. ★电池电压：±15～±23 节可调，直流电压±180～±276V  ，电池可调范围大，现场配置灵活。要求提供生产厂家针对该功能设置界面的证明材料扫描件或复印件加盖投标人鲜章。</w:t>
            </w:r>
          </w:p>
          <w:p>
            <w:r>
              <w:rPr>
                <w:rFonts w:hint="eastAsia"/>
              </w:rPr>
              <w:t>8.▲产品具有高效节能性，系统效率：额定负载：≥96.5%，50%负载：≥97%。提供泰尔检测报告证明扫描件或复印件加盖投标人鲜章。</w:t>
            </w:r>
          </w:p>
          <w:p>
            <w:r>
              <w:rPr>
                <w:rFonts w:hint="eastAsia"/>
              </w:rPr>
              <w:t>9. ★带载能力强：输出 PF=1，输出端可带更多负载。提供生产厂家泰尔检验报告扫描件或复印件加盖投标人鲜章。。</w:t>
            </w:r>
          </w:p>
          <w:p>
            <w:r>
              <w:rPr>
                <w:rFonts w:hint="eastAsia"/>
              </w:rPr>
              <w:t>10.★模块化主机智能化管理，具备风机故障告警、电容预警，机内温度，智能化管理易损部件，将故障排除在萌芽阶段。用户享受智能化设备的轻松管理；减少运维工作。要求提供生产厂家针对该功能设置界面的证明材料和风机故障检测装置的第三方证明文件的扫描件或复印件加盖投标人鲜章。</w:t>
            </w:r>
          </w:p>
          <w:p>
            <w:r>
              <w:rPr>
                <w:rFonts w:hint="eastAsia"/>
              </w:rPr>
              <w:t>11.▲系统冗余设置:在每台模块化 UPS 主机界面可设置模块冗余数量；而且模块化主机系统之间也可设置冗余并柜数量，实现多种冗余，系统更安全；要求提供生产厂家针对该功能设置界面的证明材料扫描件或复印件加盖 投标人鲜章。</w:t>
            </w:r>
          </w:p>
          <w:p>
            <w:r>
              <w:rPr>
                <w:rFonts w:hint="eastAsia"/>
              </w:rPr>
              <w:t>12. ★输出同步（BSC）：  输出母线同步功能、具备输出双母线功能，现场应用灵活。要求提供生产厂家针对该功能设置界面的证明材料扫描件或复印件加盖投标人鲜章。</w:t>
            </w:r>
          </w:p>
          <w:p>
            <w:r>
              <w:rPr>
                <w:rFonts w:hint="eastAsia"/>
              </w:rPr>
              <w:t>13.▲模块化UPS 具备除尘功能，当设备运行周期较长或设备积尘过多时， UPS 模块启动自动除尘功能，防范未然，提高供电可靠性。提供生产厂家针对该功能设置界面的证明材料扫描件或复印件加盖投标人鲜章。</w:t>
            </w:r>
          </w:p>
          <w:p>
            <w:r>
              <w:rPr>
                <w:rFonts w:hint="eastAsia"/>
              </w:rPr>
              <w:t>14.UPS 主机标配输入开关、旁路开关、维护旁路开关、输出开关；开关品牌要求采用进口知名品牌。</w:t>
            </w:r>
          </w:p>
          <w:p>
            <w:r>
              <w:rPr>
                <w:rFonts w:hint="eastAsia"/>
              </w:rPr>
              <w:t>15.▲中文 7 英寸触摸大液晶屏，具有 LCD+LED 指示的操作界面，实时记录工作状态和运行信息，管理更加直观；操作界面要求配备手动开关机按钮，确保在触摸屏失效时依然可以开关机操作，要求提供生产厂家设备照片证明材料扫描件或复印件加盖投标人鲜章。</w:t>
            </w:r>
          </w:p>
          <w:p>
            <w:r>
              <w:rPr>
                <w:rFonts w:hint="eastAsia"/>
              </w:rPr>
              <w:t>16.▲具有智能录波功能，当 UPS 设备故障时，完整记录故障发生瞬间前后 5 个周期的波形，有助于故障诊断和快速故障定位，方便现场分析，提高维护工作效率，要求提供生产厂家针对该功能设置界面的证明材料扫描件或复印件加盖投标人鲜章。</w:t>
            </w:r>
          </w:p>
          <w:p>
            <w:r>
              <w:rPr>
                <w:rFonts w:hint="eastAsia"/>
              </w:rPr>
              <w:t>17.▲CEL 自测试功能  ：具备自老化功能，有效解决现场调试及老化的负载问题，减少投资；要求提供生产厂家针对该功能界面的证明材料扫描件或复印件加盖投标人鲜章。</w:t>
            </w:r>
          </w:p>
          <w:p>
            <w:r>
              <w:rPr>
                <w:rFonts w:hint="eastAsia"/>
              </w:rPr>
              <w:t>18.主机近端标配 EPO 按钮，同时具备远程干接点接口（远程 EPO 控制功能），灵活使用，确保现场紧急状况下能够快速断电，保护设备安全。要求提供生产厂家盖章的设备照片证明材料。</w:t>
            </w:r>
          </w:p>
          <w:p>
            <w:r>
              <w:rPr>
                <w:rFonts w:hint="eastAsia"/>
              </w:rPr>
              <w:t>19.▲智能休眠：可实现功率模块智能休眠、有效提高系统寿命及整机效率，要求提供生产厂家针对该功能设置界面的证明材料扫描件或复印件加盖投标人鲜章。</w:t>
            </w:r>
          </w:p>
          <w:p>
            <w:r>
              <w:rPr>
                <w:rFonts w:hint="eastAsia"/>
              </w:rPr>
              <w:t>20.▲智能化电池管理功能：具有电池管理功能丰富，具备电池测试放电电流\电池测试放电容量\电池测试放电时间\定电流定时测试\定电流定容量测试\深度测试，既方便电池日常维护，也可延长电池使用寿命。要求提供生产厂家针对该功能设置界面的证明材料扫描件或复印件加盖投标人鲜章。</w:t>
            </w:r>
          </w:p>
          <w:p>
            <w:r>
              <w:rPr>
                <w:rFonts w:hint="eastAsia"/>
              </w:rPr>
              <w:t>21.▲兼容锂电池功能：具备兼容锂电池智能管理功能，可在显示界面显示锂电池电压、容量、健康状态等重要信息，要求提供生产厂家针对该功能设置界面的证明材料扫描件或复印件加盖投标人鲜章。</w:t>
            </w:r>
          </w:p>
          <w:p>
            <w:r>
              <w:rPr>
                <w:rFonts w:hint="eastAsia"/>
              </w:rPr>
              <w:t>22. ★具有电池充电电流设置功能；支持大电流快速充电，单模块默认充电电流为 20A，面板最大可设 30A。要求提供生产厂家针对该功能设置界面的证明材料扫描件或复印件加盖投标人鲜章。</w:t>
            </w:r>
          </w:p>
          <w:p>
            <w:r>
              <w:rPr>
                <w:rFonts w:hint="eastAsia"/>
              </w:rPr>
              <w:t>23.▲并机系统可支持在主机界面查看其它所有并联机型运行参数，通过触摸屏设置该机为监控主机，并联机器通过 485 通讯，在主机中实现信息汇总，可统一与外部通讯。要求提供生产厂家针对该功能设置界面的证明材料扫描件或复印件加盖投标人鲜章。</w:t>
            </w:r>
          </w:p>
          <w:p>
            <w:r>
              <w:rPr>
                <w:rFonts w:hint="eastAsia"/>
              </w:rPr>
              <w:t>24.▲支持 U 盘在线升级功能，可以安全的对系统中的功率模块、控制模块进行软件升级，避免了单个模块进行逐个升级操作的繁琐工作。要求提供生产厂家针对该功能设置界面的证明材料扫描件或复印件加盖投标人鲜章。</w:t>
            </w:r>
          </w:p>
          <w:p>
            <w:r>
              <w:rPr>
                <w:rFonts w:hint="eastAsia"/>
              </w:rPr>
              <w:t>25.▲电池具备无风险放电测试功能，当市电态转为电池态供电时，整流器母线电压不断电，当电池态切回市电态时，市电态处于热备份，防止两者在切换状态下掉电风险。要求提供生产厂家针对该功能的证明材料扫描件或复印件加盖投标人鲜章。</w:t>
            </w:r>
          </w:p>
          <w:p>
            <w:r>
              <w:rPr>
                <w:rFonts w:hint="eastAsia"/>
              </w:rPr>
              <w:t>26. ※质保期：≥二年。</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r>
              <w:rPr>
                <w:rFonts w:hint="eastAsia"/>
              </w:rPr>
              <w:t>1</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r>
              <w:rPr>
                <w:rFonts w:hint="eastAsia"/>
              </w:rPr>
              <w:t>台</w:t>
            </w:r>
          </w:p>
        </w:tc>
      </w:tr>
      <w:tr>
        <w:tblPrEx>
          <w:tblCellMar>
            <w:top w:w="0" w:type="dxa"/>
            <w:left w:w="108" w:type="dxa"/>
            <w:bottom w:w="0" w:type="dxa"/>
            <w:right w:w="108" w:type="dxa"/>
          </w:tblCellMar>
        </w:tblPrEx>
        <w:trPr>
          <w:trHeight w:val="8190" w:hRule="atLeast"/>
          <w:jc w:val="center"/>
        </w:trPr>
        <w:tc>
          <w:tcPr>
            <w:tcW w:w="567" w:type="dxa"/>
            <w:vMerge w:val="continue"/>
            <w:tcBorders>
              <w:top w:val="nil"/>
              <w:left w:val="single" w:color="auto" w:sz="4" w:space="0"/>
              <w:bottom w:val="single" w:color="000000" w:sz="4" w:space="0"/>
              <w:right w:val="single" w:color="auto" w:sz="4" w:space="0"/>
            </w:tcBorders>
            <w:vAlign w:val="center"/>
          </w:tcPr>
          <w:p/>
        </w:tc>
        <w:tc>
          <w:tcPr>
            <w:tcW w:w="1134" w:type="dxa"/>
            <w:vMerge w:val="continue"/>
            <w:tcBorders>
              <w:top w:val="nil"/>
              <w:left w:val="single" w:color="auto" w:sz="4" w:space="0"/>
              <w:bottom w:val="single" w:color="000000" w:sz="4" w:space="0"/>
              <w:right w:val="single" w:color="auto" w:sz="4" w:space="0"/>
            </w:tcBorders>
            <w:vAlign w:val="center"/>
          </w:tcPr>
          <w:p/>
        </w:tc>
        <w:tc>
          <w:tcPr>
            <w:tcW w:w="993" w:type="dxa"/>
            <w:vMerge w:val="continue"/>
            <w:tcBorders>
              <w:top w:val="nil"/>
              <w:left w:val="single" w:color="auto" w:sz="4" w:space="0"/>
              <w:bottom w:val="single" w:color="000000" w:sz="4" w:space="0"/>
              <w:right w:val="single" w:color="auto" w:sz="4" w:space="0"/>
            </w:tcBorders>
            <w:vAlign w:val="center"/>
          </w:tcPr>
          <w:p/>
        </w:tc>
        <w:tc>
          <w:tcPr>
            <w:tcW w:w="6662" w:type="dxa"/>
            <w:vMerge w:val="continue"/>
            <w:tcBorders>
              <w:top w:val="nil"/>
              <w:left w:val="single" w:color="auto" w:sz="4" w:space="0"/>
              <w:bottom w:val="single" w:color="000000" w:sz="4" w:space="0"/>
              <w:right w:val="single" w:color="auto" w:sz="4" w:space="0"/>
            </w:tcBorders>
            <w:vAlign w:val="center"/>
          </w:tcPr>
          <w:p/>
        </w:tc>
        <w:tc>
          <w:tcPr>
            <w:tcW w:w="709" w:type="dxa"/>
            <w:vMerge w:val="continue"/>
            <w:tcBorders>
              <w:top w:val="nil"/>
              <w:left w:val="single" w:color="auto" w:sz="4" w:space="0"/>
              <w:bottom w:val="single" w:color="000000" w:sz="4" w:space="0"/>
              <w:right w:val="single" w:color="auto" w:sz="4" w:space="0"/>
            </w:tcBorders>
            <w:vAlign w:val="center"/>
          </w:tcPr>
          <w:p/>
        </w:tc>
        <w:tc>
          <w:tcPr>
            <w:tcW w:w="708" w:type="dxa"/>
            <w:vMerge w:val="continue"/>
            <w:tcBorders>
              <w:top w:val="nil"/>
              <w:left w:val="single" w:color="auto" w:sz="4" w:space="0"/>
              <w:bottom w:val="single" w:color="000000" w:sz="4" w:space="0"/>
              <w:right w:val="single" w:color="auto" w:sz="4" w:space="0"/>
            </w:tcBorders>
            <w:vAlign w:val="center"/>
          </w:tcPr>
          <w:p/>
        </w:tc>
        <w:tc>
          <w:tcPr>
            <w:tcW w:w="236" w:type="dxa"/>
            <w:tcBorders>
              <w:top w:val="nil"/>
              <w:left w:val="nil"/>
              <w:bottom w:val="nil"/>
              <w:right w:val="nil"/>
            </w:tcBorders>
            <w:shd w:val="clear" w:color="auto" w:fill="auto"/>
            <w:noWrap/>
            <w:vAlign w:val="center"/>
          </w:tcPr>
          <w:p/>
        </w:tc>
      </w:tr>
      <w:tr>
        <w:tblPrEx>
          <w:tblCellMar>
            <w:top w:w="0" w:type="dxa"/>
            <w:left w:w="108" w:type="dxa"/>
            <w:bottom w:w="0" w:type="dxa"/>
            <w:right w:w="108" w:type="dxa"/>
          </w:tblCellMar>
        </w:tblPrEx>
        <w:trPr>
          <w:trHeight w:val="257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r>
              <w:rPr>
                <w:rFonts w:hint="eastAsia"/>
              </w:rPr>
              <w:t>2</w:t>
            </w:r>
          </w:p>
        </w:tc>
        <w:tc>
          <w:tcPr>
            <w:tcW w:w="1134" w:type="dxa"/>
            <w:tcBorders>
              <w:top w:val="nil"/>
              <w:left w:val="nil"/>
              <w:bottom w:val="single" w:color="auto" w:sz="4" w:space="0"/>
              <w:right w:val="single" w:color="auto" w:sz="4" w:space="0"/>
            </w:tcBorders>
            <w:shd w:val="clear" w:color="auto" w:fill="auto"/>
            <w:vAlign w:val="center"/>
          </w:tcPr>
          <w:p>
            <w:r>
              <w:rPr>
                <w:rFonts w:hint="eastAsia"/>
              </w:rPr>
              <w:t>蓄电池</w:t>
            </w:r>
          </w:p>
        </w:tc>
        <w:tc>
          <w:tcPr>
            <w:tcW w:w="993" w:type="dxa"/>
            <w:tcBorders>
              <w:top w:val="nil"/>
              <w:left w:val="nil"/>
              <w:bottom w:val="single" w:color="auto" w:sz="4" w:space="0"/>
              <w:right w:val="single" w:color="auto" w:sz="4" w:space="0"/>
            </w:tcBorders>
            <w:shd w:val="clear" w:color="auto" w:fill="auto"/>
            <w:noWrap/>
            <w:vAlign w:val="center"/>
          </w:tcPr>
          <w:p>
            <w:r>
              <w:rPr>
                <w:rFonts w:hint="eastAsia"/>
              </w:rPr>
              <w:t>12V200AH</w:t>
            </w:r>
          </w:p>
        </w:tc>
        <w:tc>
          <w:tcPr>
            <w:tcW w:w="6662" w:type="dxa"/>
            <w:tcBorders>
              <w:top w:val="nil"/>
              <w:left w:val="nil"/>
              <w:bottom w:val="single" w:color="auto" w:sz="4" w:space="0"/>
              <w:right w:val="single" w:color="auto" w:sz="4" w:space="0"/>
            </w:tcBorders>
            <w:shd w:val="clear" w:color="auto" w:fill="auto"/>
            <w:vAlign w:val="center"/>
          </w:tcPr>
          <w:p>
            <w:r>
              <w:rPr>
                <w:rFonts w:hint="eastAsia"/>
              </w:rPr>
              <w:t>1. ※电池电压：12V，容量：200AH（20HR）。</w:t>
            </w:r>
          </w:p>
          <w:p>
            <w:r>
              <w:rPr>
                <w:rFonts w:hint="eastAsia"/>
              </w:rPr>
              <w:t xml:space="preserve">2. ★免维护设计：高可靠的专业阀控式密封设计，有效确保电池不漏液、无酸雾、不腐蚀。 </w:t>
            </w:r>
          </w:p>
          <w:p>
            <w:r>
              <w:rPr>
                <w:rFonts w:hint="eastAsia"/>
              </w:rPr>
              <w:t xml:space="preserve">3. ★充电时产生的气体基本被回收还原成电解液，使用时无需加水、补液和测量电解液比重。 </w:t>
            </w:r>
          </w:p>
          <w:p>
            <w:r>
              <w:rPr>
                <w:rFonts w:hint="eastAsia"/>
              </w:rPr>
              <w:t>4.超长使用寿命：独有配方，有效抵抗极板腐蚀，卓越的大电流放电特性，可靠的快速充电性能，优越的深度放电恢复能力，确保电池使用寿命。</w:t>
            </w:r>
          </w:p>
          <w:p>
            <w:r>
              <w:rPr>
                <w:rFonts w:hint="eastAsia"/>
              </w:rPr>
              <w:t>5. ★优质的高纯度材料，每月小于4%的自放电电流，减轻客户的维护工作。</w:t>
            </w:r>
          </w:p>
          <w:p>
            <w:r>
              <w:rPr>
                <w:rFonts w:hint="eastAsia"/>
              </w:rPr>
              <w:t>6. ★浮充设计寿命6年。</w:t>
            </w:r>
          </w:p>
          <w:p>
            <w:r>
              <w:rPr>
                <w:rFonts w:hint="eastAsia"/>
              </w:rPr>
              <w:t>7</w:t>
            </w:r>
            <w:r>
              <w:t>.</w:t>
            </w:r>
            <w:r>
              <w:rPr>
                <w:rFonts w:hint="eastAsia"/>
              </w:rPr>
              <w:t>质保期：≥三年。</w:t>
            </w:r>
          </w:p>
        </w:tc>
        <w:tc>
          <w:tcPr>
            <w:tcW w:w="709" w:type="dxa"/>
            <w:tcBorders>
              <w:top w:val="nil"/>
              <w:left w:val="nil"/>
              <w:bottom w:val="single" w:color="auto" w:sz="4" w:space="0"/>
              <w:right w:val="single" w:color="auto" w:sz="4" w:space="0"/>
            </w:tcBorders>
            <w:shd w:val="clear" w:color="auto" w:fill="auto"/>
            <w:noWrap/>
            <w:vAlign w:val="center"/>
          </w:tcPr>
          <w:p>
            <w:r>
              <w:rPr>
                <w:rFonts w:hint="eastAsia"/>
              </w:rPr>
              <w:t>120</w:t>
            </w:r>
          </w:p>
        </w:tc>
        <w:tc>
          <w:tcPr>
            <w:tcW w:w="708" w:type="dxa"/>
            <w:tcBorders>
              <w:top w:val="nil"/>
              <w:left w:val="nil"/>
              <w:bottom w:val="single" w:color="auto" w:sz="4" w:space="0"/>
              <w:right w:val="single" w:color="auto" w:sz="4" w:space="0"/>
            </w:tcBorders>
            <w:shd w:val="clear" w:color="auto" w:fill="auto"/>
            <w:noWrap/>
            <w:vAlign w:val="center"/>
          </w:tcPr>
          <w:p>
            <w:r>
              <w:rPr>
                <w:rFonts w:hint="eastAsia"/>
              </w:rPr>
              <w:t>只</w:t>
            </w:r>
          </w:p>
        </w:tc>
        <w:tc>
          <w:tcPr>
            <w:tcW w:w="236" w:type="dxa"/>
            <w:vAlign w:val="center"/>
          </w:tcPr>
          <w:p/>
        </w:tc>
      </w:tr>
      <w:tr>
        <w:tblPrEx>
          <w:tblCellMar>
            <w:top w:w="0" w:type="dxa"/>
            <w:left w:w="108" w:type="dxa"/>
            <w:bottom w:w="0" w:type="dxa"/>
            <w:right w:w="108" w:type="dxa"/>
          </w:tblCellMar>
        </w:tblPrEx>
        <w:trPr>
          <w:trHeight w:val="558"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r>
              <w:rPr>
                <w:rFonts w:hint="eastAsia"/>
              </w:rPr>
              <w:t>3</w:t>
            </w:r>
          </w:p>
        </w:tc>
        <w:tc>
          <w:tcPr>
            <w:tcW w:w="1134" w:type="dxa"/>
            <w:tcBorders>
              <w:top w:val="nil"/>
              <w:left w:val="nil"/>
              <w:bottom w:val="single" w:color="auto" w:sz="4" w:space="0"/>
              <w:right w:val="single" w:color="auto" w:sz="4" w:space="0"/>
            </w:tcBorders>
            <w:shd w:val="clear" w:color="auto" w:fill="auto"/>
            <w:vAlign w:val="center"/>
          </w:tcPr>
          <w:p>
            <w:r>
              <w:rPr>
                <w:rFonts w:hint="eastAsia"/>
              </w:rPr>
              <w:t>配电柜</w:t>
            </w:r>
          </w:p>
        </w:tc>
        <w:tc>
          <w:tcPr>
            <w:tcW w:w="993" w:type="dxa"/>
            <w:tcBorders>
              <w:top w:val="nil"/>
              <w:left w:val="nil"/>
              <w:bottom w:val="single" w:color="auto" w:sz="4" w:space="0"/>
              <w:right w:val="single" w:color="auto" w:sz="4" w:space="0"/>
            </w:tcBorders>
            <w:shd w:val="clear" w:color="auto" w:fill="auto"/>
            <w:noWrap/>
            <w:vAlign w:val="center"/>
          </w:tcPr>
          <w:p>
            <w:r>
              <w:rPr>
                <w:rFonts w:hint="eastAsia"/>
              </w:rPr>
              <w:t>630A</w:t>
            </w:r>
          </w:p>
        </w:tc>
        <w:tc>
          <w:tcPr>
            <w:tcW w:w="6662" w:type="dxa"/>
            <w:tcBorders>
              <w:top w:val="nil"/>
              <w:left w:val="nil"/>
              <w:bottom w:val="single" w:color="auto" w:sz="4" w:space="0"/>
              <w:right w:val="single" w:color="auto" w:sz="4" w:space="0"/>
            </w:tcBorders>
            <w:shd w:val="clear" w:color="auto" w:fill="auto"/>
            <w:vAlign w:val="center"/>
          </w:tcPr>
          <w:p>
            <w:r>
              <w:rPr>
                <w:rFonts w:hint="eastAsia"/>
              </w:rPr>
              <w:t>总开关3P630A 1个，支路开关3P300A 3个。</w:t>
            </w:r>
          </w:p>
        </w:tc>
        <w:tc>
          <w:tcPr>
            <w:tcW w:w="709" w:type="dxa"/>
            <w:tcBorders>
              <w:top w:val="nil"/>
              <w:left w:val="nil"/>
              <w:bottom w:val="single" w:color="auto" w:sz="4" w:space="0"/>
              <w:right w:val="single" w:color="auto" w:sz="4" w:space="0"/>
            </w:tcBorders>
            <w:shd w:val="clear" w:color="auto" w:fill="auto"/>
            <w:noWrap/>
            <w:vAlign w:val="center"/>
          </w:tcPr>
          <w:p>
            <w:r>
              <w:rPr>
                <w:rFonts w:hint="eastAsia"/>
              </w:rPr>
              <w:t>1</w:t>
            </w:r>
          </w:p>
        </w:tc>
        <w:tc>
          <w:tcPr>
            <w:tcW w:w="708" w:type="dxa"/>
            <w:tcBorders>
              <w:top w:val="nil"/>
              <w:left w:val="nil"/>
              <w:bottom w:val="single" w:color="auto" w:sz="4" w:space="0"/>
              <w:right w:val="single" w:color="auto" w:sz="4" w:space="0"/>
            </w:tcBorders>
            <w:shd w:val="clear" w:color="auto" w:fill="auto"/>
            <w:noWrap/>
            <w:vAlign w:val="center"/>
          </w:tcPr>
          <w:p>
            <w:r>
              <w:rPr>
                <w:rFonts w:hint="eastAsia"/>
              </w:rPr>
              <w:t>套</w:t>
            </w:r>
          </w:p>
        </w:tc>
        <w:tc>
          <w:tcPr>
            <w:tcW w:w="236" w:type="dxa"/>
            <w:vAlign w:val="center"/>
          </w:tcPr>
          <w:p/>
          <w:p/>
        </w:tc>
      </w:tr>
      <w:tr>
        <w:tblPrEx>
          <w:tblCellMar>
            <w:top w:w="0" w:type="dxa"/>
            <w:left w:w="108" w:type="dxa"/>
            <w:bottom w:w="0" w:type="dxa"/>
            <w:right w:w="108" w:type="dxa"/>
          </w:tblCellMar>
        </w:tblPrEx>
        <w:trPr>
          <w:trHeight w:val="596"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r>
              <w:rPr>
                <w:rFonts w:hint="eastAsia"/>
              </w:rPr>
              <w:t>4</w:t>
            </w:r>
          </w:p>
        </w:tc>
        <w:tc>
          <w:tcPr>
            <w:tcW w:w="1134" w:type="dxa"/>
            <w:tcBorders>
              <w:top w:val="nil"/>
              <w:left w:val="nil"/>
              <w:bottom w:val="single" w:color="auto" w:sz="4" w:space="0"/>
              <w:right w:val="single" w:color="auto" w:sz="4" w:space="0"/>
            </w:tcBorders>
            <w:shd w:val="clear" w:color="auto" w:fill="auto"/>
            <w:vAlign w:val="center"/>
          </w:tcPr>
          <w:p>
            <w:r>
              <w:rPr>
                <w:rFonts w:hint="eastAsia"/>
              </w:rPr>
              <w:t>铜排</w:t>
            </w:r>
          </w:p>
        </w:tc>
        <w:tc>
          <w:tcPr>
            <w:tcW w:w="993" w:type="dxa"/>
            <w:tcBorders>
              <w:top w:val="nil"/>
              <w:left w:val="nil"/>
              <w:bottom w:val="single" w:color="auto" w:sz="4" w:space="0"/>
              <w:right w:val="single" w:color="auto" w:sz="4" w:space="0"/>
            </w:tcBorders>
            <w:shd w:val="clear" w:color="auto" w:fill="auto"/>
            <w:noWrap/>
            <w:vAlign w:val="center"/>
          </w:tcPr>
          <w:p>
            <w:r>
              <w:rPr>
                <w:rFonts w:hint="eastAsia"/>
              </w:rPr>
              <w:t>定制</w:t>
            </w:r>
          </w:p>
        </w:tc>
        <w:tc>
          <w:tcPr>
            <w:tcW w:w="6662" w:type="dxa"/>
            <w:tcBorders>
              <w:top w:val="nil"/>
              <w:left w:val="nil"/>
              <w:bottom w:val="single" w:color="auto" w:sz="4" w:space="0"/>
              <w:right w:val="single" w:color="auto" w:sz="4" w:space="0"/>
            </w:tcBorders>
            <w:shd w:val="clear" w:color="auto" w:fill="auto"/>
            <w:vAlign w:val="center"/>
          </w:tcPr>
          <w:p>
            <w:r>
              <w:t>40*4含电池连接铜排。</w:t>
            </w:r>
          </w:p>
        </w:tc>
        <w:tc>
          <w:tcPr>
            <w:tcW w:w="709" w:type="dxa"/>
            <w:tcBorders>
              <w:top w:val="nil"/>
              <w:left w:val="nil"/>
              <w:bottom w:val="single" w:color="auto" w:sz="4" w:space="0"/>
              <w:right w:val="single" w:color="auto" w:sz="4" w:space="0"/>
            </w:tcBorders>
            <w:shd w:val="clear" w:color="auto" w:fill="auto"/>
            <w:noWrap/>
            <w:vAlign w:val="center"/>
          </w:tcPr>
          <w:p>
            <w:r>
              <w:t>3</w:t>
            </w:r>
          </w:p>
        </w:tc>
        <w:tc>
          <w:tcPr>
            <w:tcW w:w="708" w:type="dxa"/>
            <w:tcBorders>
              <w:top w:val="nil"/>
              <w:left w:val="nil"/>
              <w:bottom w:val="single" w:color="auto" w:sz="4" w:space="0"/>
              <w:right w:val="single" w:color="auto" w:sz="4" w:space="0"/>
            </w:tcBorders>
            <w:shd w:val="clear" w:color="auto" w:fill="auto"/>
            <w:noWrap/>
            <w:vAlign w:val="center"/>
          </w:tcPr>
          <w:p>
            <w:r>
              <w:rPr>
                <w:rFonts w:hint="eastAsia"/>
              </w:rPr>
              <w:t>套</w:t>
            </w:r>
          </w:p>
        </w:tc>
        <w:tc>
          <w:tcPr>
            <w:tcW w:w="236" w:type="dxa"/>
            <w:vAlign w:val="center"/>
          </w:tcPr>
          <w:p/>
          <w:p/>
        </w:tc>
      </w:tr>
      <w:tr>
        <w:tblPrEx>
          <w:tblCellMar>
            <w:top w:w="0" w:type="dxa"/>
            <w:left w:w="108" w:type="dxa"/>
            <w:bottom w:w="0" w:type="dxa"/>
            <w:right w:w="108" w:type="dxa"/>
          </w:tblCellMar>
        </w:tblPrEx>
        <w:trPr>
          <w:trHeight w:val="70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r>
              <w:rPr>
                <w:rFonts w:hint="eastAsia"/>
              </w:rPr>
              <w:t>5</w:t>
            </w:r>
          </w:p>
        </w:tc>
        <w:tc>
          <w:tcPr>
            <w:tcW w:w="1134" w:type="dxa"/>
            <w:tcBorders>
              <w:top w:val="nil"/>
              <w:left w:val="nil"/>
              <w:bottom w:val="single" w:color="auto" w:sz="4" w:space="0"/>
              <w:right w:val="single" w:color="auto" w:sz="4" w:space="0"/>
            </w:tcBorders>
            <w:shd w:val="clear" w:color="auto" w:fill="auto"/>
            <w:vAlign w:val="center"/>
          </w:tcPr>
          <w:p>
            <w:r>
              <w:rPr>
                <w:rFonts w:hint="eastAsia"/>
              </w:rPr>
              <w:t>电线</w:t>
            </w:r>
          </w:p>
        </w:tc>
        <w:tc>
          <w:tcPr>
            <w:tcW w:w="993" w:type="dxa"/>
            <w:tcBorders>
              <w:top w:val="nil"/>
              <w:left w:val="nil"/>
              <w:bottom w:val="single" w:color="auto" w:sz="4" w:space="0"/>
              <w:right w:val="single" w:color="auto" w:sz="4" w:space="0"/>
            </w:tcBorders>
            <w:shd w:val="clear" w:color="auto" w:fill="auto"/>
            <w:noWrap/>
            <w:vAlign w:val="center"/>
          </w:tcPr>
          <w:p>
            <w:r>
              <w:t>BVR 185</w:t>
            </w:r>
          </w:p>
        </w:tc>
        <w:tc>
          <w:tcPr>
            <w:tcW w:w="6662" w:type="dxa"/>
            <w:tcBorders>
              <w:top w:val="nil"/>
              <w:left w:val="nil"/>
              <w:bottom w:val="single" w:color="auto" w:sz="4" w:space="0"/>
              <w:right w:val="single" w:color="auto" w:sz="4" w:space="0"/>
            </w:tcBorders>
            <w:shd w:val="clear" w:color="auto" w:fill="auto"/>
            <w:vAlign w:val="center"/>
          </w:tcPr>
          <w:p>
            <w:r>
              <w:t>1.含185平方电池间跨层线、电池到电池开关连接线，电池开关到主机连接线等。</w:t>
            </w:r>
          </w:p>
        </w:tc>
        <w:tc>
          <w:tcPr>
            <w:tcW w:w="709" w:type="dxa"/>
            <w:tcBorders>
              <w:top w:val="nil"/>
              <w:left w:val="nil"/>
              <w:bottom w:val="single" w:color="auto" w:sz="4" w:space="0"/>
              <w:right w:val="single" w:color="auto" w:sz="4" w:space="0"/>
            </w:tcBorders>
            <w:shd w:val="clear" w:color="auto" w:fill="auto"/>
            <w:noWrap/>
            <w:vAlign w:val="center"/>
          </w:tcPr>
          <w:p>
            <w:r>
              <w:t>100</w:t>
            </w:r>
          </w:p>
        </w:tc>
        <w:tc>
          <w:tcPr>
            <w:tcW w:w="708" w:type="dxa"/>
            <w:tcBorders>
              <w:top w:val="nil"/>
              <w:left w:val="nil"/>
              <w:bottom w:val="single" w:color="auto" w:sz="4" w:space="0"/>
              <w:right w:val="single" w:color="auto" w:sz="4" w:space="0"/>
            </w:tcBorders>
            <w:shd w:val="clear" w:color="auto" w:fill="auto"/>
            <w:noWrap/>
            <w:vAlign w:val="center"/>
          </w:tcPr>
          <w:p>
            <w:r>
              <w:rPr>
                <w:rFonts w:hint="eastAsia"/>
              </w:rPr>
              <w:t>米</w:t>
            </w:r>
          </w:p>
        </w:tc>
        <w:tc>
          <w:tcPr>
            <w:tcW w:w="236" w:type="dxa"/>
            <w:vAlign w:val="center"/>
          </w:tcPr>
          <w:p/>
        </w:tc>
      </w:tr>
      <w:tr>
        <w:tblPrEx>
          <w:tblCellMar>
            <w:top w:w="0" w:type="dxa"/>
            <w:left w:w="108" w:type="dxa"/>
            <w:bottom w:w="0" w:type="dxa"/>
            <w:right w:w="108" w:type="dxa"/>
          </w:tblCellMar>
        </w:tblPrEx>
        <w:trPr>
          <w:trHeight w:val="54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r>
              <w:rPr>
                <w:rFonts w:hint="eastAsia"/>
              </w:rPr>
              <w:t>6</w:t>
            </w:r>
          </w:p>
        </w:tc>
        <w:tc>
          <w:tcPr>
            <w:tcW w:w="1134" w:type="dxa"/>
            <w:tcBorders>
              <w:top w:val="nil"/>
              <w:left w:val="nil"/>
              <w:bottom w:val="single" w:color="auto" w:sz="4" w:space="0"/>
              <w:right w:val="single" w:color="auto" w:sz="4" w:space="0"/>
            </w:tcBorders>
            <w:shd w:val="clear" w:color="auto" w:fill="auto"/>
            <w:vAlign w:val="center"/>
          </w:tcPr>
          <w:p>
            <w:r>
              <w:rPr>
                <w:rFonts w:hint="eastAsia"/>
              </w:rPr>
              <w:t>电池架</w:t>
            </w:r>
          </w:p>
        </w:tc>
        <w:tc>
          <w:tcPr>
            <w:tcW w:w="993" w:type="dxa"/>
            <w:tcBorders>
              <w:top w:val="nil"/>
              <w:left w:val="nil"/>
              <w:bottom w:val="single" w:color="auto" w:sz="4" w:space="0"/>
              <w:right w:val="single" w:color="auto" w:sz="4" w:space="0"/>
            </w:tcBorders>
            <w:shd w:val="clear" w:color="auto" w:fill="auto"/>
            <w:noWrap/>
            <w:vAlign w:val="center"/>
          </w:tcPr>
          <w:p>
            <w:r>
              <w:t>BT-40</w:t>
            </w:r>
          </w:p>
        </w:tc>
        <w:tc>
          <w:tcPr>
            <w:tcW w:w="6662" w:type="dxa"/>
            <w:tcBorders>
              <w:top w:val="nil"/>
              <w:left w:val="nil"/>
              <w:bottom w:val="single" w:color="auto" w:sz="4" w:space="0"/>
              <w:right w:val="single" w:color="auto" w:sz="4" w:space="0"/>
            </w:tcBorders>
            <w:shd w:val="clear" w:color="auto" w:fill="auto"/>
            <w:vAlign w:val="center"/>
          </w:tcPr>
          <w:p>
            <w:r>
              <w:t>2.铜鼻子、五指套、胶布、扎带、热缩管等。"</w:t>
            </w:r>
          </w:p>
        </w:tc>
        <w:tc>
          <w:tcPr>
            <w:tcW w:w="709" w:type="dxa"/>
            <w:tcBorders>
              <w:top w:val="nil"/>
              <w:left w:val="nil"/>
              <w:bottom w:val="single" w:color="auto" w:sz="4" w:space="0"/>
              <w:right w:val="single" w:color="auto" w:sz="4" w:space="0"/>
            </w:tcBorders>
            <w:shd w:val="clear" w:color="auto" w:fill="auto"/>
            <w:noWrap/>
            <w:vAlign w:val="center"/>
          </w:tcPr>
          <w:p>
            <w:r>
              <w:t>3</w:t>
            </w:r>
          </w:p>
        </w:tc>
        <w:tc>
          <w:tcPr>
            <w:tcW w:w="708" w:type="dxa"/>
            <w:tcBorders>
              <w:top w:val="nil"/>
              <w:left w:val="nil"/>
              <w:bottom w:val="single" w:color="auto" w:sz="4" w:space="0"/>
              <w:right w:val="single" w:color="auto" w:sz="4" w:space="0"/>
            </w:tcBorders>
            <w:shd w:val="clear" w:color="auto" w:fill="auto"/>
            <w:noWrap/>
            <w:vAlign w:val="center"/>
          </w:tcPr>
          <w:p>
            <w:r>
              <w:rPr>
                <w:rFonts w:hint="eastAsia"/>
              </w:rPr>
              <w:t>套</w:t>
            </w:r>
          </w:p>
        </w:tc>
        <w:tc>
          <w:tcPr>
            <w:tcW w:w="236" w:type="dxa"/>
            <w:vAlign w:val="center"/>
          </w:tcPr>
          <w:p/>
        </w:tc>
      </w:tr>
      <w:tr>
        <w:tblPrEx>
          <w:tblCellMar>
            <w:top w:w="0" w:type="dxa"/>
            <w:left w:w="108" w:type="dxa"/>
            <w:bottom w:w="0" w:type="dxa"/>
            <w:right w:w="108" w:type="dxa"/>
          </w:tblCellMar>
        </w:tblPrEx>
        <w:trPr>
          <w:trHeight w:val="55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r>
              <w:rPr>
                <w:rFonts w:hint="eastAsia"/>
              </w:rPr>
              <w:t>7</w:t>
            </w:r>
          </w:p>
        </w:tc>
        <w:tc>
          <w:tcPr>
            <w:tcW w:w="1134" w:type="dxa"/>
            <w:tcBorders>
              <w:top w:val="nil"/>
              <w:left w:val="nil"/>
              <w:bottom w:val="single" w:color="auto" w:sz="4" w:space="0"/>
              <w:right w:val="single" w:color="auto" w:sz="4" w:space="0"/>
            </w:tcBorders>
            <w:shd w:val="clear" w:color="000000" w:fill="FFFFFF"/>
            <w:vAlign w:val="center"/>
          </w:tcPr>
          <w:p>
            <w:r>
              <w:rPr>
                <w:rFonts w:hint="eastAsia"/>
              </w:rPr>
              <w:t>短信告警器</w:t>
            </w:r>
          </w:p>
        </w:tc>
        <w:tc>
          <w:tcPr>
            <w:tcW w:w="993" w:type="dxa"/>
            <w:tcBorders>
              <w:top w:val="nil"/>
              <w:left w:val="nil"/>
              <w:bottom w:val="single" w:color="auto" w:sz="4" w:space="0"/>
              <w:right w:val="single" w:color="auto" w:sz="4" w:space="0"/>
            </w:tcBorders>
            <w:shd w:val="clear" w:color="000000" w:fill="FFFFFF"/>
            <w:vAlign w:val="center"/>
          </w:tcPr>
          <w:p>
            <w:r>
              <w:rPr>
                <w:rFonts w:hint="eastAsia"/>
              </w:rPr>
              <w:t>定制</w:t>
            </w:r>
          </w:p>
        </w:tc>
        <w:tc>
          <w:tcPr>
            <w:tcW w:w="6662" w:type="dxa"/>
            <w:tcBorders>
              <w:top w:val="nil"/>
              <w:left w:val="nil"/>
              <w:bottom w:val="single" w:color="auto" w:sz="4" w:space="0"/>
              <w:right w:val="single" w:color="auto" w:sz="4" w:space="0"/>
            </w:tcBorders>
            <w:shd w:val="clear" w:color="000000" w:fill="FFFFFF"/>
            <w:vAlign w:val="center"/>
          </w:tcPr>
          <w:p>
            <w:r>
              <w:rPr>
                <w:rFonts w:hint="eastAsia"/>
              </w:rPr>
              <w:t>把</w:t>
            </w:r>
            <w:r>
              <w:t>UPS电源的告警信息及时发送到管理人员的手机上。</w:t>
            </w:r>
          </w:p>
        </w:tc>
        <w:tc>
          <w:tcPr>
            <w:tcW w:w="709" w:type="dxa"/>
            <w:tcBorders>
              <w:top w:val="nil"/>
              <w:left w:val="nil"/>
              <w:bottom w:val="single" w:color="auto" w:sz="4" w:space="0"/>
              <w:right w:val="single" w:color="auto" w:sz="4" w:space="0"/>
            </w:tcBorders>
            <w:shd w:val="clear" w:color="000000" w:fill="FFFFFF"/>
            <w:noWrap/>
            <w:vAlign w:val="center"/>
          </w:tcPr>
          <w:p>
            <w:r>
              <w:rPr>
                <w:rFonts w:hint="eastAsia"/>
              </w:rPr>
              <w:t>1</w:t>
            </w:r>
          </w:p>
        </w:tc>
        <w:tc>
          <w:tcPr>
            <w:tcW w:w="708" w:type="dxa"/>
            <w:tcBorders>
              <w:top w:val="nil"/>
              <w:left w:val="nil"/>
              <w:bottom w:val="single" w:color="auto" w:sz="4" w:space="0"/>
              <w:right w:val="single" w:color="auto" w:sz="4" w:space="0"/>
            </w:tcBorders>
            <w:shd w:val="clear" w:color="000000" w:fill="FFFFFF"/>
            <w:noWrap/>
            <w:vAlign w:val="center"/>
          </w:tcPr>
          <w:p>
            <w:r>
              <w:rPr>
                <w:rFonts w:hint="eastAsia"/>
              </w:rPr>
              <w:t>套</w:t>
            </w:r>
          </w:p>
        </w:tc>
        <w:tc>
          <w:tcPr>
            <w:tcW w:w="236" w:type="dxa"/>
            <w:vAlign w:val="center"/>
          </w:tcPr>
          <w:p/>
        </w:tc>
      </w:tr>
      <w:tr>
        <w:tblPrEx>
          <w:tblCellMar>
            <w:top w:w="0" w:type="dxa"/>
            <w:left w:w="108" w:type="dxa"/>
            <w:bottom w:w="0" w:type="dxa"/>
            <w:right w:w="108" w:type="dxa"/>
          </w:tblCellMar>
        </w:tblPrEx>
        <w:trPr>
          <w:trHeight w:val="55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r>
              <w:rPr>
                <w:rFonts w:hint="eastAsia"/>
              </w:rPr>
              <w:t>8</w:t>
            </w:r>
          </w:p>
        </w:tc>
        <w:tc>
          <w:tcPr>
            <w:tcW w:w="1134" w:type="dxa"/>
            <w:tcBorders>
              <w:top w:val="nil"/>
              <w:left w:val="nil"/>
              <w:bottom w:val="single" w:color="auto" w:sz="4" w:space="0"/>
              <w:right w:val="single" w:color="auto" w:sz="4" w:space="0"/>
            </w:tcBorders>
            <w:shd w:val="clear" w:color="000000" w:fill="FFFFFF"/>
            <w:vAlign w:val="center"/>
          </w:tcPr>
          <w:p>
            <w:r>
              <w:rPr>
                <w:rFonts w:hint="eastAsia"/>
              </w:rPr>
              <w:t>服务费</w:t>
            </w:r>
          </w:p>
        </w:tc>
        <w:tc>
          <w:tcPr>
            <w:tcW w:w="993" w:type="dxa"/>
            <w:tcBorders>
              <w:top w:val="nil"/>
              <w:left w:val="nil"/>
              <w:bottom w:val="single" w:color="auto" w:sz="4" w:space="0"/>
              <w:right w:val="single" w:color="auto" w:sz="4" w:space="0"/>
            </w:tcBorders>
            <w:shd w:val="clear" w:color="000000" w:fill="FFFFFF"/>
            <w:vAlign w:val="center"/>
          </w:tcPr>
          <w:p>
            <w:r>
              <w:rPr>
                <w:rFonts w:hint="eastAsia"/>
              </w:rPr>
              <w:t>定制</w:t>
            </w:r>
          </w:p>
        </w:tc>
        <w:tc>
          <w:tcPr>
            <w:tcW w:w="6662" w:type="dxa"/>
            <w:tcBorders>
              <w:top w:val="nil"/>
              <w:left w:val="nil"/>
              <w:bottom w:val="single" w:color="auto" w:sz="4" w:space="0"/>
              <w:right w:val="single" w:color="auto" w:sz="4" w:space="0"/>
            </w:tcBorders>
            <w:shd w:val="clear" w:color="000000" w:fill="FFFFFF"/>
            <w:vAlign w:val="center"/>
          </w:tcPr>
          <w:p>
            <w:r>
              <w:rPr>
                <w:rFonts w:hint="eastAsia"/>
              </w:rPr>
              <w:t>产品的安装和调试、整套产品的运输、搬运、安装和调试，</w:t>
            </w:r>
            <w:r>
              <w:rPr>
                <w:rFonts w:hint="eastAsia" w:ascii="宋体" w:hAnsi="宋体" w:cs="宋体"/>
                <w:color w:val="000000"/>
                <w:kern w:val="0"/>
                <w:sz w:val="20"/>
                <w:szCs w:val="20"/>
              </w:rPr>
              <w:t>技术支持高低压室总箱及各楼层管道井支箱安装调试，确保系统正常运行</w:t>
            </w:r>
            <w:r>
              <w:rPr>
                <w:rFonts w:ascii="宋体" w:hAnsi="宋体" w:cs="宋体"/>
                <w:color w:val="000000"/>
                <w:kern w:val="0"/>
                <w:sz w:val="20"/>
                <w:szCs w:val="20"/>
              </w:rPr>
              <w:t>。</w:t>
            </w:r>
          </w:p>
        </w:tc>
        <w:tc>
          <w:tcPr>
            <w:tcW w:w="709" w:type="dxa"/>
            <w:tcBorders>
              <w:top w:val="nil"/>
              <w:left w:val="nil"/>
              <w:bottom w:val="single" w:color="auto" w:sz="4" w:space="0"/>
              <w:right w:val="single" w:color="auto" w:sz="4" w:space="0"/>
            </w:tcBorders>
            <w:shd w:val="clear" w:color="000000" w:fill="FFFFFF"/>
            <w:noWrap/>
            <w:vAlign w:val="center"/>
          </w:tcPr>
          <w:p>
            <w:r>
              <w:rPr>
                <w:rFonts w:hint="eastAsia"/>
              </w:rPr>
              <w:t>1</w:t>
            </w:r>
          </w:p>
        </w:tc>
        <w:tc>
          <w:tcPr>
            <w:tcW w:w="708" w:type="dxa"/>
            <w:tcBorders>
              <w:top w:val="nil"/>
              <w:left w:val="nil"/>
              <w:bottom w:val="single" w:color="auto" w:sz="4" w:space="0"/>
              <w:right w:val="single" w:color="auto" w:sz="4" w:space="0"/>
            </w:tcBorders>
            <w:shd w:val="clear" w:color="000000" w:fill="FFFFFF"/>
            <w:noWrap/>
            <w:vAlign w:val="center"/>
          </w:tcPr>
          <w:p>
            <w:r>
              <w:rPr>
                <w:rFonts w:hint="eastAsia"/>
              </w:rPr>
              <w:t>项</w:t>
            </w:r>
          </w:p>
        </w:tc>
        <w:tc>
          <w:tcPr>
            <w:tcW w:w="236" w:type="dxa"/>
            <w:vAlign w:val="center"/>
          </w:tcPr>
          <w:p/>
        </w:tc>
      </w:tr>
    </w:tbl>
    <w:p>
      <w:pPr>
        <w:pStyle w:val="5"/>
      </w:pPr>
      <w:bookmarkStart w:id="198" w:name="_Toc32424"/>
      <w:bookmarkStart w:id="199" w:name="_Toc112234533"/>
      <w:bookmarkStart w:id="200" w:name="_Toc10364"/>
      <w:bookmarkStart w:id="201" w:name="_Toc112257076"/>
      <w:r>
        <w:rPr>
          <w:rFonts w:hint="eastAsia"/>
        </w:rPr>
        <w:t>四、项目要求</w:t>
      </w:r>
      <w:bookmarkEnd w:id="198"/>
      <w:bookmarkEnd w:id="199"/>
      <w:bookmarkEnd w:id="200"/>
      <w:bookmarkEnd w:id="201"/>
    </w:p>
    <w:p>
      <w:pPr>
        <w:pStyle w:val="6"/>
        <w:rPr>
          <w:snapToGrid w:val="0"/>
        </w:rPr>
      </w:pPr>
      <w:bookmarkStart w:id="202" w:name="_Toc23001"/>
      <w:bookmarkStart w:id="203" w:name="_Toc112234534"/>
      <w:bookmarkStart w:id="204" w:name="_Toc15500"/>
      <w:bookmarkStart w:id="205" w:name="_Toc112257077"/>
      <w:bookmarkStart w:id="206" w:name="_Toc12206"/>
      <w:bookmarkStart w:id="207" w:name="_Toc18341"/>
      <w:bookmarkStart w:id="208" w:name="_Toc30489"/>
      <w:bookmarkStart w:id="209" w:name="_Toc28562"/>
      <w:bookmarkStart w:id="210" w:name="_Toc26731"/>
      <w:bookmarkStart w:id="211" w:name="_Toc331"/>
      <w:bookmarkStart w:id="212" w:name="_Toc19241"/>
      <w:bookmarkStart w:id="213" w:name="_Toc26004"/>
      <w:bookmarkStart w:id="214" w:name="_Toc18529"/>
      <w:bookmarkStart w:id="215" w:name="_Toc8343"/>
      <w:bookmarkStart w:id="216" w:name="_Toc9158"/>
      <w:bookmarkStart w:id="217" w:name="_Toc26866"/>
      <w:bookmarkStart w:id="218" w:name="_Toc19862"/>
      <w:bookmarkStart w:id="219" w:name="_Toc18672"/>
      <w:bookmarkStart w:id="220" w:name="_Toc18135"/>
      <w:r>
        <w:rPr>
          <w:rFonts w:hint="eastAsia"/>
          <w:snapToGrid w:val="0"/>
        </w:rPr>
        <w:t>（一）、服务要求</w:t>
      </w:r>
      <w:bookmarkEnd w:id="202"/>
      <w:bookmarkEnd w:id="203"/>
      <w:bookmarkEnd w:id="204"/>
      <w:bookmarkEnd w:id="205"/>
    </w:p>
    <w:p>
      <w:pPr>
        <w:pStyle w:val="665"/>
        <w:ind w:firstLine="480"/>
      </w:pPr>
      <w:r>
        <w:rPr>
          <w:rFonts w:hint="eastAsia"/>
        </w:rPr>
        <w:t>供应商所提交的验收资料应当包含</w:t>
      </w:r>
      <w:r>
        <w:t>新电源系统的空载和带载时的性能指标测试</w:t>
      </w:r>
      <w:r>
        <w:rPr>
          <w:rFonts w:hint="eastAsia"/>
        </w:rPr>
        <w:t>报告</w:t>
      </w:r>
      <w:r>
        <w:t>。</w:t>
      </w:r>
      <w:bookmarkStart w:id="221" w:name="_Toc1907"/>
    </w:p>
    <w:p>
      <w:pPr>
        <w:pStyle w:val="665"/>
        <w:ind w:firstLine="480"/>
      </w:pPr>
      <w:r>
        <w:t>供应商</w:t>
      </w:r>
      <w:r>
        <w:rPr>
          <w:rFonts w:hint="eastAsia"/>
        </w:rPr>
        <w:t>应对本次改造步骤、工序、安装调试结果进行详细记录，在验收时以文本手册的方式提交给采购方，同时供应商还应对后期巡检、维护、保养、耗材更换及故障排除编制详细的技术手册文件，并在验收时移交给采购方，以便采购方后续对设备的管理</w:t>
      </w:r>
      <w:r>
        <w:t>。</w:t>
      </w:r>
      <w:bookmarkEnd w:id="221"/>
    </w:p>
    <w:p>
      <w:pPr>
        <w:pStyle w:val="6"/>
        <w:rPr>
          <w:snapToGrid w:val="0"/>
        </w:rPr>
      </w:pPr>
      <w:bookmarkStart w:id="222" w:name="_Toc16648"/>
      <w:bookmarkStart w:id="223" w:name="_Toc112234535"/>
      <w:bookmarkStart w:id="224" w:name="_Toc9490"/>
      <w:bookmarkStart w:id="225" w:name="_Toc112257078"/>
      <w:r>
        <w:rPr>
          <w:rFonts w:hint="eastAsia"/>
          <w:snapToGrid w:val="0"/>
        </w:rPr>
        <w:t>（二）、※质量要求</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2"/>
      <w:bookmarkEnd w:id="223"/>
      <w:bookmarkEnd w:id="224"/>
      <w:bookmarkEnd w:id="225"/>
    </w:p>
    <w:p>
      <w:pPr>
        <w:numPr>
          <w:ilvl w:val="0"/>
          <w:numId w:val="10"/>
        </w:numPr>
        <w:tabs>
          <w:tab w:val="left" w:pos="0"/>
        </w:tabs>
        <w:wordWrap w:val="0"/>
        <w:adjustRightInd w:val="0"/>
        <w:snapToGrid w:val="0"/>
        <w:spacing w:line="440" w:lineRule="exact"/>
        <w:ind w:firstLine="420" w:firstLineChars="200"/>
        <w:jc w:val="left"/>
        <w:rPr>
          <w:rFonts w:ascii="宋体" w:hAnsi="宋体" w:cs="宋体"/>
        </w:rPr>
      </w:pPr>
      <w:r>
        <w:rPr>
          <w:rFonts w:hint="eastAsia" w:ascii="宋体" w:hAnsi="宋体"/>
        </w:rPr>
        <w:t>供应商</w:t>
      </w:r>
      <w:r>
        <w:rPr>
          <w:rFonts w:hint="eastAsia" w:ascii="宋体" w:hAnsi="宋体" w:cs="宋体"/>
        </w:rPr>
        <w:t>须提供全新的货物(含零部件、配件、使用说明书等)，表面无划伤、无碰撞痕迹，且权属清楚，不得侵害他人的知识产权，并按照相关要求包装完好。</w:t>
      </w:r>
    </w:p>
    <w:p>
      <w:pPr>
        <w:numPr>
          <w:ilvl w:val="0"/>
          <w:numId w:val="10"/>
        </w:numPr>
        <w:tabs>
          <w:tab w:val="left" w:pos="0"/>
        </w:tabs>
        <w:wordWrap w:val="0"/>
        <w:adjustRightInd w:val="0"/>
        <w:snapToGrid w:val="0"/>
        <w:spacing w:line="440" w:lineRule="exact"/>
        <w:ind w:firstLine="420" w:firstLineChars="200"/>
        <w:jc w:val="left"/>
        <w:rPr>
          <w:rFonts w:ascii="宋体" w:hAnsi="宋体" w:cs="宋体"/>
        </w:rPr>
      </w:pPr>
      <w:r>
        <w:rPr>
          <w:rFonts w:hint="eastAsia" w:ascii="宋体" w:hAnsi="宋体" w:cs="宋体"/>
        </w:rPr>
        <w:t>国家或行业主管部门对供应商和采购产品的技术标准、质量标准等有强制性规定的，必须符合其要求。</w:t>
      </w:r>
    </w:p>
    <w:p>
      <w:pPr>
        <w:numPr>
          <w:ilvl w:val="0"/>
          <w:numId w:val="10"/>
        </w:numPr>
        <w:tabs>
          <w:tab w:val="left" w:pos="0"/>
        </w:tabs>
        <w:wordWrap w:val="0"/>
        <w:adjustRightInd w:val="0"/>
        <w:snapToGrid w:val="0"/>
        <w:spacing w:line="440" w:lineRule="exact"/>
        <w:ind w:firstLine="420" w:firstLineChars="200"/>
        <w:jc w:val="left"/>
        <w:rPr>
          <w:rFonts w:ascii="宋体" w:hAnsi="宋体" w:cs="宋体"/>
        </w:rPr>
      </w:pPr>
      <w:r>
        <w:rPr>
          <w:rFonts w:hint="eastAsia" w:ascii="宋体" w:hAnsi="宋体" w:cs="宋体"/>
        </w:rPr>
        <w:t>投标产品必须符合或优于国家(行业)标准、地方标准或者其他标准、规范要求。</w:t>
      </w:r>
    </w:p>
    <w:p>
      <w:pPr>
        <w:numPr>
          <w:ilvl w:val="0"/>
          <w:numId w:val="10"/>
        </w:numPr>
        <w:tabs>
          <w:tab w:val="left" w:pos="0"/>
        </w:tabs>
        <w:wordWrap w:val="0"/>
        <w:adjustRightInd w:val="0"/>
        <w:snapToGrid w:val="0"/>
        <w:spacing w:line="440" w:lineRule="exact"/>
        <w:ind w:firstLine="420" w:firstLineChars="200"/>
        <w:jc w:val="left"/>
        <w:rPr>
          <w:rFonts w:ascii="宋体" w:hAnsi="宋体" w:cs="宋体"/>
        </w:rPr>
      </w:pPr>
      <w:r>
        <w:rPr>
          <w:rFonts w:hint="eastAsia" w:ascii="宋体" w:hAnsi="宋体" w:cs="宋体"/>
        </w:rPr>
        <w:t>交货验收时每台货物上均应有产品质量检验合格标志，且须提供产品质检部门从同类产品中抽样检查合格的检测报告。</w:t>
      </w:r>
    </w:p>
    <w:p>
      <w:pPr>
        <w:numPr>
          <w:ilvl w:val="0"/>
          <w:numId w:val="10"/>
        </w:numPr>
        <w:tabs>
          <w:tab w:val="left" w:pos="0"/>
        </w:tabs>
        <w:wordWrap w:val="0"/>
        <w:adjustRightInd w:val="0"/>
        <w:snapToGrid w:val="0"/>
        <w:spacing w:line="440" w:lineRule="exact"/>
        <w:ind w:firstLine="420" w:firstLineChars="200"/>
        <w:jc w:val="left"/>
        <w:rPr>
          <w:rFonts w:ascii="宋体" w:hAnsi="宋体" w:cs="宋体"/>
        </w:rPr>
      </w:pPr>
      <w:r>
        <w:rPr>
          <w:rFonts w:hint="eastAsia" w:ascii="宋体" w:hAnsi="宋体" w:cs="宋体"/>
        </w:rPr>
        <w:t>货物制造质量出现问题，比选申请人或产品制造厂家应负责三包(包修、包换、包退)，费用由比选申请人或产品制造厂家负担，采购方有权到产品生产厂家生产场地检查货物质量和生产进度。</w:t>
      </w:r>
    </w:p>
    <w:p>
      <w:pPr>
        <w:numPr>
          <w:ilvl w:val="0"/>
          <w:numId w:val="10"/>
        </w:numPr>
        <w:tabs>
          <w:tab w:val="left" w:pos="0"/>
        </w:tabs>
        <w:wordWrap w:val="0"/>
        <w:adjustRightInd w:val="0"/>
        <w:snapToGrid w:val="0"/>
        <w:spacing w:line="440" w:lineRule="exact"/>
        <w:ind w:firstLine="420" w:firstLineChars="200"/>
        <w:jc w:val="left"/>
        <w:rPr>
          <w:rFonts w:ascii="宋体" w:hAnsi="宋体" w:cs="宋体"/>
        </w:rPr>
      </w:pPr>
      <w:r>
        <w:rPr>
          <w:rFonts w:hint="eastAsia" w:ascii="宋体" w:hAnsi="宋体" w:cs="宋体"/>
        </w:rPr>
        <w:t>供应商提供的货物出现以下情况视为质量不合格：</w:t>
      </w:r>
    </w:p>
    <w:p>
      <w:pPr>
        <w:wordWrap w:val="0"/>
        <w:ind w:firstLine="420" w:firstLineChars="200"/>
        <w:rPr>
          <w:rFonts w:ascii="宋体" w:hAnsi="宋体" w:cs="宋体"/>
        </w:rPr>
      </w:pPr>
      <w:r>
        <w:rPr>
          <w:rFonts w:hint="eastAsia" w:ascii="宋体" w:hAnsi="宋体" w:cs="宋体"/>
        </w:rPr>
        <w:t>(1)货物无标签、没有标明产品名称、产品制造厂家、规格、安装使用说明等。</w:t>
      </w:r>
    </w:p>
    <w:p>
      <w:pPr>
        <w:wordWrap w:val="0"/>
        <w:ind w:firstLine="420" w:firstLineChars="200"/>
        <w:rPr>
          <w:rFonts w:ascii="宋体" w:hAnsi="宋体" w:cs="宋体"/>
        </w:rPr>
      </w:pPr>
      <w:r>
        <w:rPr>
          <w:rFonts w:hint="eastAsia" w:ascii="宋体" w:hAnsi="宋体" w:cs="宋体"/>
        </w:rPr>
        <w:t>(2)因货物本身原因导致无法安装或型号、参数不匹配造成无法使用的，或经采购方现场初步验收货物后，由非人为原因造成的货物故障等情况。</w:t>
      </w:r>
    </w:p>
    <w:p>
      <w:pPr>
        <w:pStyle w:val="6"/>
        <w:rPr>
          <w:snapToGrid w:val="0"/>
        </w:rPr>
      </w:pPr>
      <w:bookmarkStart w:id="226" w:name="_Toc16181"/>
      <w:bookmarkStart w:id="227" w:name="_Toc17742"/>
      <w:bookmarkStart w:id="228" w:name="_Toc31748"/>
      <w:bookmarkStart w:id="229" w:name="_Toc2949"/>
      <w:bookmarkStart w:id="230" w:name="_Toc112234536"/>
      <w:bookmarkStart w:id="231" w:name="_Toc26625"/>
      <w:bookmarkStart w:id="232" w:name="_Toc3438"/>
      <w:bookmarkStart w:id="233" w:name="_Toc3794"/>
      <w:bookmarkStart w:id="234" w:name="_Toc21207"/>
      <w:bookmarkStart w:id="235" w:name="_Toc29055"/>
      <w:bookmarkStart w:id="236" w:name="_Toc4417"/>
      <w:bookmarkStart w:id="237" w:name="_Toc19037"/>
      <w:bookmarkStart w:id="238" w:name="_Toc26780"/>
      <w:bookmarkStart w:id="239" w:name="_Toc19984"/>
      <w:bookmarkStart w:id="240" w:name="_Toc21534"/>
      <w:bookmarkStart w:id="241" w:name="_Toc5356"/>
      <w:bookmarkStart w:id="242" w:name="_Toc8627"/>
      <w:bookmarkStart w:id="243" w:name="_Toc25480"/>
      <w:bookmarkStart w:id="244" w:name="_Toc10954"/>
      <w:bookmarkStart w:id="245" w:name="_Toc12494"/>
      <w:bookmarkStart w:id="246" w:name="_Toc112257079"/>
      <w:r>
        <w:rPr>
          <w:rFonts w:hint="eastAsia"/>
          <w:snapToGrid w:val="0"/>
        </w:rPr>
        <w:t>（三）、售后服务要求</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pPr>
        <w:numPr>
          <w:ilvl w:val="0"/>
          <w:numId w:val="11"/>
        </w:numPr>
        <w:tabs>
          <w:tab w:val="left" w:pos="0"/>
        </w:tabs>
        <w:wordWrap w:val="0"/>
        <w:adjustRightInd w:val="0"/>
        <w:snapToGrid w:val="0"/>
        <w:spacing w:line="440" w:lineRule="exact"/>
        <w:ind w:firstLine="420" w:firstLineChars="200"/>
        <w:jc w:val="left"/>
        <w:rPr>
          <w:rFonts w:ascii="宋体" w:hAnsi="宋体" w:cs="宋体"/>
          <w:szCs w:val="21"/>
        </w:rPr>
      </w:pPr>
      <w:r>
        <w:rPr>
          <w:rFonts w:hint="eastAsia" w:ascii="宋体" w:hAnsi="宋体" w:cs="宋体"/>
          <w:szCs w:val="21"/>
        </w:rPr>
        <w:t>质保期内</w:t>
      </w:r>
      <w:r>
        <w:rPr>
          <w:rFonts w:hint="eastAsia" w:ascii="宋体" w:hAnsi="宋体" w:cs="宋体"/>
        </w:rPr>
        <w:t>比选申请人</w:t>
      </w:r>
      <w:r>
        <w:rPr>
          <w:rFonts w:hint="eastAsia" w:ascii="宋体" w:hAnsi="宋体" w:cs="宋体"/>
          <w:szCs w:val="21"/>
        </w:rPr>
        <w:t>负责对所投产品免费上门维修、更换损坏的零部件(耗材和人为原因造成损坏除外)，如因货物性能故障连续维修两次仍不能正常使用的，</w:t>
      </w:r>
      <w:r>
        <w:rPr>
          <w:rFonts w:hint="eastAsia" w:ascii="宋体" w:hAnsi="宋体" w:cs="宋体"/>
        </w:rPr>
        <w:t>比选申请人</w:t>
      </w:r>
      <w:r>
        <w:rPr>
          <w:rFonts w:hint="eastAsia" w:ascii="宋体" w:hAnsi="宋体" w:cs="宋体"/>
          <w:szCs w:val="21"/>
        </w:rPr>
        <w:t>应在一个月内无偿更换相同型号及同等功能的全新货物并重新计算质保期；每年免费巡回保养一次；如果货物出现故障，收到采购方通知后，中选人在1小时内作出响应，8～72小时内到现场解决。</w:t>
      </w:r>
    </w:p>
    <w:p>
      <w:pPr>
        <w:numPr>
          <w:ilvl w:val="0"/>
          <w:numId w:val="11"/>
        </w:numPr>
        <w:tabs>
          <w:tab w:val="left" w:pos="0"/>
        </w:tabs>
        <w:wordWrap w:val="0"/>
        <w:adjustRightInd w:val="0"/>
        <w:snapToGrid w:val="0"/>
        <w:spacing w:line="440" w:lineRule="exact"/>
        <w:ind w:firstLine="420" w:firstLineChars="200"/>
        <w:jc w:val="left"/>
        <w:rPr>
          <w:rFonts w:ascii="宋体" w:hAnsi="宋体" w:cs="宋体"/>
          <w:szCs w:val="21"/>
        </w:rPr>
      </w:pPr>
      <w:r>
        <w:rPr>
          <w:rFonts w:hint="eastAsia" w:ascii="宋体" w:hAnsi="宋体" w:cs="宋体"/>
          <w:szCs w:val="21"/>
        </w:rPr>
        <w:t>质保期外</w:t>
      </w:r>
      <w:r>
        <w:rPr>
          <w:rFonts w:hint="eastAsia" w:ascii="宋体" w:hAnsi="宋体" w:cs="宋体"/>
        </w:rPr>
        <w:t>比选申请人</w:t>
      </w:r>
      <w:r>
        <w:rPr>
          <w:rFonts w:hint="eastAsia" w:ascii="宋体" w:hAnsi="宋体" w:cs="宋体"/>
          <w:szCs w:val="21"/>
        </w:rPr>
        <w:t>继续提供售后服务，终身免收差旅费(包括机票，住宿，交通费等)和人工服务费，如需更换零配件、附件，按成本价提供。</w:t>
      </w:r>
    </w:p>
    <w:p>
      <w:pPr>
        <w:numPr>
          <w:ilvl w:val="0"/>
          <w:numId w:val="11"/>
        </w:numPr>
        <w:tabs>
          <w:tab w:val="left" w:pos="0"/>
        </w:tabs>
        <w:wordWrap w:val="0"/>
        <w:adjustRightInd w:val="0"/>
        <w:snapToGrid w:val="0"/>
        <w:spacing w:line="440" w:lineRule="exact"/>
        <w:ind w:firstLine="420" w:firstLineChars="200"/>
        <w:jc w:val="left"/>
        <w:rPr>
          <w:rFonts w:ascii="宋体" w:hAnsi="宋体"/>
        </w:rPr>
      </w:pPr>
      <w:r>
        <w:rPr>
          <w:rFonts w:hint="eastAsia" w:ascii="宋体" w:hAnsi="宋体" w:cs="宋体"/>
          <w:szCs w:val="21"/>
        </w:rPr>
        <w:t>免费上门安装调试，现场操作培训，培训包括货物的基本原理、操作及一般货物维护保养知识等。</w:t>
      </w:r>
    </w:p>
    <w:p>
      <w:pPr>
        <w:pStyle w:val="5"/>
        <w:rPr>
          <w:rFonts w:cs="宋体"/>
        </w:rPr>
      </w:pPr>
      <w:bookmarkStart w:id="247" w:name="_Toc112257080"/>
      <w:bookmarkStart w:id="248" w:name="_Toc112234537"/>
      <w:bookmarkStart w:id="249" w:name="_Toc25440"/>
      <w:r>
        <w:rPr>
          <w:rFonts w:hint="eastAsia"/>
        </w:rPr>
        <w:t>五、</w:t>
      </w:r>
      <w:r>
        <w:rPr>
          <w:rFonts w:hint="eastAsia"/>
          <w:szCs w:val="22"/>
        </w:rPr>
        <w:t>商务</w:t>
      </w:r>
      <w:r>
        <w:rPr>
          <w:rFonts w:hint="eastAsia" w:cs="宋体"/>
        </w:rPr>
        <w:t>要求</w:t>
      </w:r>
      <w:bookmarkEnd w:id="195"/>
      <w:bookmarkEnd w:id="196"/>
      <w:bookmarkEnd w:id="247"/>
      <w:bookmarkEnd w:id="248"/>
      <w:bookmarkEnd w:id="249"/>
    </w:p>
    <w:p>
      <w:pPr>
        <w:pStyle w:val="6"/>
      </w:pPr>
      <w:bookmarkStart w:id="250" w:name="_Toc9694"/>
      <w:bookmarkStart w:id="251" w:name="_Toc1161"/>
      <w:bookmarkStart w:id="252" w:name="_Toc6938"/>
      <w:bookmarkStart w:id="253" w:name="_Toc9105"/>
      <w:bookmarkStart w:id="254" w:name="_Toc112234538"/>
      <w:bookmarkStart w:id="255" w:name="_Toc22207"/>
      <w:bookmarkStart w:id="256" w:name="_Toc30243"/>
      <w:bookmarkStart w:id="257" w:name="_Toc28300"/>
      <w:bookmarkStart w:id="258" w:name="_Toc6470"/>
      <w:bookmarkStart w:id="259" w:name="_Toc112257081"/>
      <w:r>
        <w:rPr>
          <w:rFonts w:hint="eastAsia"/>
          <w:snapToGrid w:val="0"/>
        </w:rPr>
        <w:t>（一）、</w:t>
      </w:r>
      <w:r>
        <w:rPr>
          <w:rFonts w:hint="eastAsia"/>
        </w:rPr>
        <w:t>履约时间和地点</w:t>
      </w:r>
      <w:bookmarkEnd w:id="250"/>
      <w:bookmarkEnd w:id="251"/>
      <w:bookmarkEnd w:id="252"/>
      <w:bookmarkEnd w:id="253"/>
      <w:bookmarkEnd w:id="254"/>
      <w:bookmarkEnd w:id="255"/>
      <w:bookmarkEnd w:id="256"/>
      <w:bookmarkEnd w:id="257"/>
      <w:bookmarkEnd w:id="258"/>
      <w:bookmarkEnd w:id="259"/>
    </w:p>
    <w:p>
      <w:pPr>
        <w:numPr>
          <w:ilvl w:val="4"/>
          <w:numId w:val="0"/>
        </w:numPr>
        <w:spacing w:line="360" w:lineRule="auto"/>
        <w:ind w:firstLine="480" w:firstLineChars="200"/>
        <w:rPr>
          <w:rFonts w:ascii="宋体" w:hAnsi="宋体" w:cs="宋体"/>
          <w:bCs/>
          <w:kern w:val="0"/>
          <w:sz w:val="24"/>
        </w:rPr>
      </w:pPr>
      <w:r>
        <w:rPr>
          <w:rFonts w:hint="eastAsia" w:ascii="宋体" w:hAnsi="宋体" w:cs="宋体"/>
          <w:bCs/>
          <w:kern w:val="0"/>
          <w:sz w:val="24"/>
        </w:rPr>
        <w:t>1.履约时间：本项目在合同签订生效后</w:t>
      </w:r>
      <w:r>
        <w:rPr>
          <w:rFonts w:ascii="宋体" w:hAnsi="宋体" w:cs="宋体"/>
          <w:bCs/>
          <w:kern w:val="0"/>
          <w:sz w:val="24"/>
        </w:rPr>
        <w:t>15</w:t>
      </w:r>
      <w:r>
        <w:rPr>
          <w:rFonts w:hint="eastAsia" w:ascii="宋体" w:hAnsi="宋体" w:cs="宋体"/>
          <w:bCs/>
          <w:kern w:val="0"/>
          <w:sz w:val="24"/>
        </w:rPr>
        <w:t>日内完成全部货物交货(含全部安装工作)并提交验收。</w:t>
      </w:r>
    </w:p>
    <w:p>
      <w:pPr>
        <w:numPr>
          <w:ilvl w:val="4"/>
          <w:numId w:val="0"/>
        </w:numPr>
        <w:spacing w:line="360" w:lineRule="auto"/>
        <w:ind w:firstLine="480" w:firstLineChars="200"/>
        <w:rPr>
          <w:rFonts w:ascii="宋体" w:hAnsi="宋体" w:cs="宋体"/>
          <w:sz w:val="24"/>
        </w:rPr>
      </w:pPr>
      <w:r>
        <w:rPr>
          <w:rFonts w:hint="eastAsia" w:ascii="宋体" w:hAnsi="宋体" w:cs="宋体"/>
          <w:sz w:val="24"/>
        </w:rPr>
        <w:t>2.履约地点：</w:t>
      </w:r>
      <w:r>
        <w:rPr>
          <w:rFonts w:hint="eastAsia" w:ascii="宋体" w:hAnsi="宋体" w:cs="宋体"/>
          <w:color w:val="FF0000"/>
          <w:sz w:val="24"/>
        </w:rPr>
        <w:t>采购人指定地点</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w:t>
      </w:r>
      <w:r>
        <w:rPr>
          <w:rFonts w:hint="eastAsia" w:ascii="宋体" w:hAnsi="宋体" w:cs="宋体"/>
          <w:sz w:val="24"/>
        </w:rPr>
        <w:t>安装要求：</w:t>
      </w:r>
    </w:p>
    <w:p>
      <w:pPr>
        <w:adjustRightInd w:val="0"/>
        <w:snapToGrid w:val="0"/>
        <w:spacing w:line="360" w:lineRule="auto"/>
        <w:ind w:left="239" w:leftChars="114" w:firstLine="480" w:firstLineChars="200"/>
        <w:rPr>
          <w:rFonts w:ascii="宋体" w:hAnsi="宋体" w:cs="宋体"/>
          <w:color w:val="000000"/>
          <w:sz w:val="24"/>
        </w:rPr>
      </w:pPr>
      <w:r>
        <w:rPr>
          <w:rFonts w:hint="eastAsia" w:ascii="宋体" w:hAnsi="宋体" w:cs="宋体"/>
          <w:color w:val="000000"/>
          <w:sz w:val="24"/>
        </w:rPr>
        <w:t>3.1成交供应商在发货之前，应对货物的有关内在和外观质量、规格、性能数量和重量进行准确的和全面的检验，并出具其货物符合本合同规定的质量合格证书。该证书将作为提交给使用人付款单据的组成部分，但不应视为是对质量、规格、性能、数量的最终确认。</w:t>
      </w:r>
    </w:p>
    <w:p>
      <w:pPr>
        <w:adjustRightInd w:val="0"/>
        <w:snapToGrid w:val="0"/>
        <w:spacing w:line="360" w:lineRule="auto"/>
        <w:ind w:left="239" w:leftChars="114" w:firstLine="480" w:firstLineChars="200"/>
        <w:rPr>
          <w:rFonts w:ascii="宋体" w:hAnsi="宋体" w:cs="宋体"/>
          <w:color w:val="000000"/>
          <w:sz w:val="24"/>
        </w:rPr>
      </w:pPr>
      <w:r>
        <w:rPr>
          <w:rFonts w:hint="eastAsia" w:ascii="宋体" w:hAnsi="宋体" w:cs="宋体"/>
          <w:color w:val="000000"/>
          <w:sz w:val="24"/>
        </w:rPr>
        <w:t>3.2在项目最终验收前的实施过程中，货物的质量及安全等问题均由成交供应商负责。成交供应商负责货物运输、安装、调试、检测、验收过程中其派出所有工作人员安全风险的管理工作以及安全文明施工的培训工作，按照国家相关规定，须持证上岗的岗位必须做到持证上岗，项目实施过程中如发生安全事故，造成人身伤亡或财产损失的，由供应商承担全部责任。</w:t>
      </w:r>
    </w:p>
    <w:p>
      <w:pPr>
        <w:adjustRightInd w:val="0"/>
        <w:snapToGrid w:val="0"/>
        <w:spacing w:line="360" w:lineRule="auto"/>
        <w:ind w:left="239" w:leftChars="114" w:firstLine="480" w:firstLineChars="200"/>
        <w:rPr>
          <w:rFonts w:ascii="宋体" w:hAnsi="宋体" w:cs="宋体"/>
          <w:color w:val="000000"/>
          <w:sz w:val="24"/>
        </w:rPr>
      </w:pPr>
      <w:r>
        <w:rPr>
          <w:rFonts w:hint="eastAsia" w:ascii="宋体" w:hAnsi="宋体" w:cs="宋体"/>
          <w:color w:val="000000"/>
          <w:sz w:val="24"/>
        </w:rPr>
        <w:t>3.3在质保期内，如发现货物的质量或规格与本合同规定不符，或证明货物有缺陷，包括潜在的缺陷或使用不合适的原材料或器件等，采购方保留向成交供应商提出索赔的权利。</w:t>
      </w:r>
    </w:p>
    <w:p>
      <w:pPr>
        <w:adjustRightInd w:val="0"/>
        <w:snapToGrid w:val="0"/>
        <w:spacing w:line="360" w:lineRule="auto"/>
        <w:ind w:left="239" w:leftChars="114" w:firstLine="480" w:firstLineChars="200"/>
        <w:rPr>
          <w:rFonts w:ascii="宋体" w:hAnsi="宋体" w:cs="宋体"/>
          <w:color w:val="000000"/>
          <w:sz w:val="24"/>
        </w:rPr>
      </w:pPr>
      <w:r>
        <w:rPr>
          <w:rFonts w:hint="eastAsia" w:ascii="宋体" w:hAnsi="宋体" w:cs="宋体"/>
          <w:color w:val="000000"/>
          <w:sz w:val="24"/>
        </w:rPr>
        <w:t>3.4采购人有权派出技术专家对所投货物的制造过程进行抽查或监督，以及参与设备的性能检验和试验运行，供应商有义务提供方便和配合。</w:t>
      </w:r>
    </w:p>
    <w:p>
      <w:pPr>
        <w:pStyle w:val="3"/>
        <w:widowControl w:val="0"/>
        <w:wordWrap w:val="0"/>
        <w:spacing w:line="440" w:lineRule="exact"/>
        <w:ind w:left="420" w:firstLine="480" w:firstLineChars="200"/>
        <w:jc w:val="both"/>
        <w:rPr>
          <w:rFonts w:ascii="宋体" w:hAnsi="宋体" w:cs="宋体"/>
          <w:sz w:val="24"/>
          <w:szCs w:val="24"/>
        </w:rPr>
      </w:pPr>
    </w:p>
    <w:p>
      <w:pPr>
        <w:pStyle w:val="6"/>
      </w:pPr>
      <w:bookmarkStart w:id="260" w:name="_Toc30259"/>
      <w:bookmarkStart w:id="261" w:name="_Toc20065"/>
      <w:bookmarkStart w:id="262" w:name="_Toc5073"/>
      <w:bookmarkStart w:id="263" w:name="_Toc1092"/>
      <w:bookmarkStart w:id="264" w:name="_Toc15507"/>
      <w:bookmarkStart w:id="265" w:name="_Toc8112"/>
      <w:bookmarkStart w:id="266" w:name="_Toc112234539"/>
      <w:bookmarkStart w:id="267" w:name="_Toc25075"/>
      <w:bookmarkStart w:id="268" w:name="_Toc112257082"/>
      <w:r>
        <w:rPr>
          <w:rFonts w:hint="eastAsia"/>
          <w:snapToGrid w:val="0"/>
        </w:rPr>
        <w:t>（</w:t>
      </w:r>
      <w:r>
        <w:rPr>
          <w:rFonts w:hint="eastAsia"/>
        </w:rPr>
        <w:t>二</w:t>
      </w:r>
      <w:r>
        <w:rPr>
          <w:rFonts w:hint="eastAsia"/>
          <w:snapToGrid w:val="0"/>
        </w:rPr>
        <w:t>）、</w:t>
      </w:r>
      <w:r>
        <w:rPr>
          <w:rFonts w:hint="eastAsia"/>
        </w:rPr>
        <w:t>付款方式</w:t>
      </w:r>
      <w:bookmarkEnd w:id="260"/>
      <w:bookmarkEnd w:id="261"/>
      <w:bookmarkEnd w:id="262"/>
      <w:bookmarkEnd w:id="263"/>
      <w:bookmarkEnd w:id="264"/>
      <w:bookmarkEnd w:id="265"/>
      <w:bookmarkEnd w:id="266"/>
      <w:bookmarkEnd w:id="267"/>
      <w:bookmarkEnd w:id="268"/>
    </w:p>
    <w:p>
      <w:pPr>
        <w:numPr>
          <w:ilvl w:val="4"/>
          <w:numId w:val="1"/>
        </w:numPr>
        <w:tabs>
          <w:tab w:val="left" w:pos="0"/>
        </w:tabs>
        <w:adjustRightInd w:val="0"/>
        <w:snapToGrid w:val="0"/>
        <w:spacing w:line="440" w:lineRule="exact"/>
        <w:ind w:firstLine="420" w:firstLineChars="200"/>
        <w:jc w:val="left"/>
        <w:rPr>
          <w:rFonts w:ascii="宋体" w:hAnsi="宋体"/>
          <w:bCs/>
          <w:u w:val="single"/>
        </w:rPr>
      </w:pPr>
      <w:r>
        <w:rPr>
          <w:rFonts w:hint="eastAsia" w:ascii="宋体" w:hAnsi="宋体"/>
          <w:bCs/>
          <w:u w:val="single"/>
        </w:rPr>
        <w:t>1. 交货验收：货物全部到达安装地点，经清单无误后并签署到货验收单，采购方接到供应商提供的与合同清单一致的发票后的1</w:t>
      </w:r>
      <w:r>
        <w:rPr>
          <w:rFonts w:ascii="宋体" w:hAnsi="宋体"/>
          <w:bCs/>
          <w:u w:val="single"/>
        </w:rPr>
        <w:t>5</w:t>
      </w:r>
      <w:r>
        <w:rPr>
          <w:rFonts w:hint="eastAsia" w:ascii="宋体" w:hAnsi="宋体"/>
          <w:bCs/>
          <w:u w:val="single"/>
        </w:rPr>
        <w:t>日内支付合同金额的7</w:t>
      </w:r>
      <w:r>
        <w:rPr>
          <w:rFonts w:ascii="宋体" w:hAnsi="宋体"/>
          <w:bCs/>
          <w:u w:val="single"/>
        </w:rPr>
        <w:t>0</w:t>
      </w:r>
      <w:r>
        <w:rPr>
          <w:rFonts w:hint="eastAsia" w:ascii="宋体" w:hAnsi="宋体"/>
          <w:bCs/>
          <w:u w:val="single"/>
        </w:rPr>
        <w:t>%；</w:t>
      </w:r>
    </w:p>
    <w:p>
      <w:pPr>
        <w:numPr>
          <w:ilvl w:val="4"/>
          <w:numId w:val="1"/>
        </w:numPr>
        <w:tabs>
          <w:tab w:val="left" w:pos="0"/>
        </w:tabs>
        <w:adjustRightInd w:val="0"/>
        <w:snapToGrid w:val="0"/>
        <w:spacing w:line="440" w:lineRule="exact"/>
        <w:ind w:firstLine="420" w:firstLineChars="200"/>
        <w:jc w:val="left"/>
        <w:rPr>
          <w:rFonts w:ascii="宋体" w:hAnsi="宋体"/>
          <w:bCs/>
          <w:u w:val="single"/>
        </w:rPr>
      </w:pPr>
      <w:r>
        <w:rPr>
          <w:rFonts w:ascii="宋体" w:hAnsi="宋体"/>
          <w:bCs/>
          <w:u w:val="single"/>
        </w:rPr>
        <w:t>2.</w:t>
      </w:r>
      <w:r>
        <w:rPr>
          <w:rFonts w:hint="eastAsia" w:ascii="宋体" w:hAnsi="宋体"/>
          <w:bCs/>
          <w:u w:val="single"/>
        </w:rPr>
        <w:t>综合验收：安装调试完毕运作1</w:t>
      </w:r>
      <w:r>
        <w:rPr>
          <w:rFonts w:ascii="宋体" w:hAnsi="宋体"/>
          <w:bCs/>
          <w:u w:val="single"/>
        </w:rPr>
        <w:t>5</w:t>
      </w:r>
      <w:r>
        <w:rPr>
          <w:rFonts w:hint="eastAsia" w:ascii="宋体" w:hAnsi="宋体"/>
          <w:bCs/>
          <w:u w:val="single"/>
        </w:rPr>
        <w:t>日并经综合验收合格后，采购方接到供应商提供的与合同清单一致的发票后的1</w:t>
      </w:r>
      <w:r>
        <w:rPr>
          <w:rFonts w:ascii="宋体" w:hAnsi="宋体"/>
          <w:bCs/>
          <w:u w:val="single"/>
        </w:rPr>
        <w:t>5</w:t>
      </w:r>
      <w:r>
        <w:rPr>
          <w:rFonts w:hint="eastAsia" w:ascii="宋体" w:hAnsi="宋体"/>
          <w:bCs/>
          <w:u w:val="single"/>
        </w:rPr>
        <w:t>日内支付合同价款的2</w:t>
      </w:r>
      <w:r>
        <w:rPr>
          <w:rFonts w:ascii="宋体" w:hAnsi="宋体"/>
          <w:bCs/>
          <w:u w:val="single"/>
        </w:rPr>
        <w:t>7</w:t>
      </w:r>
      <w:r>
        <w:rPr>
          <w:rFonts w:hint="eastAsia" w:ascii="宋体" w:hAnsi="宋体"/>
          <w:bCs/>
          <w:u w:val="single"/>
        </w:rPr>
        <w:t>%；</w:t>
      </w:r>
    </w:p>
    <w:p>
      <w:pPr>
        <w:numPr>
          <w:ilvl w:val="4"/>
          <w:numId w:val="1"/>
        </w:numPr>
        <w:tabs>
          <w:tab w:val="left" w:pos="0"/>
        </w:tabs>
        <w:adjustRightInd w:val="0"/>
        <w:snapToGrid w:val="0"/>
        <w:spacing w:line="440" w:lineRule="exact"/>
        <w:ind w:firstLine="420" w:firstLineChars="200"/>
        <w:jc w:val="left"/>
        <w:rPr>
          <w:rFonts w:ascii="宋体" w:hAnsi="宋体"/>
          <w:bCs/>
          <w:u w:val="single"/>
        </w:rPr>
      </w:pPr>
      <w:r>
        <w:rPr>
          <w:rFonts w:ascii="宋体" w:hAnsi="宋体"/>
          <w:bCs/>
          <w:u w:val="single"/>
        </w:rPr>
        <w:t>3</w:t>
      </w:r>
      <w:r>
        <w:rPr>
          <w:rFonts w:hint="eastAsia" w:ascii="宋体" w:hAnsi="宋体"/>
          <w:bCs/>
          <w:u w:val="single"/>
        </w:rPr>
        <w:t>.剩余合同价款在设备安全稳定运行</w:t>
      </w:r>
      <w:r>
        <w:rPr>
          <w:rFonts w:ascii="宋体" w:hAnsi="宋体"/>
          <w:bCs/>
          <w:u w:val="single"/>
        </w:rPr>
        <w:t>12</w:t>
      </w:r>
      <w:r>
        <w:rPr>
          <w:rFonts w:hint="eastAsia" w:ascii="宋体" w:hAnsi="宋体"/>
          <w:bCs/>
          <w:u w:val="single"/>
        </w:rPr>
        <w:t xml:space="preserve">个月后一次性支付至供应商。 </w:t>
      </w:r>
    </w:p>
    <w:p>
      <w:pPr>
        <w:numPr>
          <w:ilvl w:val="4"/>
          <w:numId w:val="1"/>
        </w:numPr>
        <w:tabs>
          <w:tab w:val="left" w:pos="0"/>
        </w:tabs>
        <w:adjustRightInd w:val="0"/>
        <w:snapToGrid w:val="0"/>
        <w:spacing w:line="440" w:lineRule="exact"/>
        <w:ind w:firstLine="420" w:firstLineChars="200"/>
        <w:jc w:val="left"/>
        <w:rPr>
          <w:rFonts w:ascii="宋体" w:hAnsi="宋体"/>
          <w:bCs/>
          <w:u w:val="single"/>
        </w:rPr>
      </w:pPr>
      <w:r>
        <w:rPr>
          <w:rFonts w:ascii="宋体" w:hAnsi="宋体"/>
          <w:bCs/>
          <w:u w:val="single"/>
        </w:rPr>
        <w:t>4</w:t>
      </w:r>
      <w:r>
        <w:rPr>
          <w:rFonts w:hint="eastAsia" w:ascii="宋体" w:hAnsi="宋体"/>
          <w:bCs/>
          <w:u w:val="single"/>
        </w:rPr>
        <w:t>.供应商须向采购方出具合法有效完整的增值税发票及凭证资料进行支付结算。</w:t>
      </w:r>
    </w:p>
    <w:p>
      <w:pPr>
        <w:pStyle w:val="6"/>
      </w:pPr>
      <w:bookmarkStart w:id="269" w:name="_Toc9165"/>
      <w:bookmarkStart w:id="270" w:name="_Toc10694"/>
      <w:bookmarkStart w:id="271" w:name="_Toc8918"/>
      <w:bookmarkStart w:id="272" w:name="_Toc5691"/>
      <w:bookmarkStart w:id="273" w:name="_Toc20854"/>
      <w:bookmarkStart w:id="274" w:name="_Toc31075"/>
      <w:bookmarkStart w:id="275" w:name="_Toc112234540"/>
      <w:bookmarkStart w:id="276" w:name="_Toc3903"/>
      <w:bookmarkStart w:id="277" w:name="_Toc112257083"/>
      <w:r>
        <w:rPr>
          <w:rFonts w:hint="eastAsia"/>
          <w:snapToGrid w:val="0"/>
        </w:rPr>
        <w:t>（</w:t>
      </w:r>
      <w:r>
        <w:rPr>
          <w:rFonts w:hint="eastAsia"/>
        </w:rPr>
        <w:t>三</w:t>
      </w:r>
      <w:r>
        <w:rPr>
          <w:rFonts w:hint="eastAsia"/>
          <w:snapToGrid w:val="0"/>
        </w:rPr>
        <w:t>）、</w:t>
      </w:r>
      <w:r>
        <w:rPr>
          <w:rFonts w:hint="eastAsia"/>
        </w:rPr>
        <w:t>合同价款</w:t>
      </w:r>
      <w:bookmarkEnd w:id="269"/>
      <w:bookmarkEnd w:id="270"/>
      <w:bookmarkEnd w:id="271"/>
      <w:bookmarkEnd w:id="272"/>
      <w:bookmarkEnd w:id="273"/>
      <w:bookmarkEnd w:id="274"/>
      <w:bookmarkEnd w:id="275"/>
      <w:bookmarkEnd w:id="276"/>
      <w:bookmarkEnd w:id="277"/>
    </w:p>
    <w:p>
      <w:pPr>
        <w:numPr>
          <w:ilvl w:val="4"/>
          <w:numId w:val="1"/>
        </w:numPr>
        <w:tabs>
          <w:tab w:val="left" w:pos="0"/>
        </w:tabs>
        <w:adjustRightInd w:val="0"/>
        <w:snapToGrid w:val="0"/>
        <w:spacing w:line="440" w:lineRule="exact"/>
        <w:ind w:firstLine="420" w:firstLineChars="200"/>
        <w:jc w:val="left"/>
        <w:rPr>
          <w:rFonts w:ascii="宋体" w:hAnsi="宋体"/>
          <w:bCs/>
        </w:rPr>
      </w:pPr>
      <w:r>
        <w:rPr>
          <w:rFonts w:hint="eastAsia" w:ascii="宋体" w:hAnsi="宋体"/>
          <w:bCs/>
        </w:rPr>
        <w:t>合同价是供应商响应本项目要求的全部工作内容的价格体现，包括供应商完成本项目所需支出的一切成本和费用(包括但不限于货物设计、材料、生产制造、包装、运输、安装、调试、检测、保险、培训、风险、验收合格交付使用之前及保修期内保修服务与备用物件等等所有其他有关各项的含税费用)、获得的合法合理利润及其给与的一切附加服务</w:t>
      </w:r>
      <w:r>
        <w:rPr>
          <w:rFonts w:hint="eastAsia" w:ascii="宋体" w:hAnsi="宋体" w:cs="等线"/>
          <w:bCs/>
          <w:kern w:val="0"/>
        </w:rPr>
        <w:t>。</w:t>
      </w:r>
    </w:p>
    <w:p>
      <w:pPr>
        <w:pStyle w:val="6"/>
      </w:pPr>
      <w:bookmarkStart w:id="278" w:name="_Toc32743"/>
      <w:bookmarkStart w:id="279" w:name="_Toc13414"/>
      <w:bookmarkStart w:id="280" w:name="_Toc4100"/>
      <w:bookmarkStart w:id="281" w:name="_Toc29832"/>
      <w:bookmarkStart w:id="282" w:name="_Toc14180"/>
      <w:bookmarkStart w:id="283" w:name="_Toc18951"/>
      <w:bookmarkStart w:id="284" w:name="_Toc112234541"/>
      <w:bookmarkStart w:id="285" w:name="_Toc24080"/>
      <w:bookmarkStart w:id="286" w:name="_Toc112257084"/>
      <w:r>
        <w:rPr>
          <w:rFonts w:hint="eastAsia"/>
          <w:snapToGrid w:val="0"/>
        </w:rPr>
        <w:t>（</w:t>
      </w:r>
      <w:r>
        <w:rPr>
          <w:rFonts w:hint="eastAsia"/>
        </w:rPr>
        <w:t>四</w:t>
      </w:r>
      <w:r>
        <w:rPr>
          <w:rFonts w:hint="eastAsia"/>
          <w:snapToGrid w:val="0"/>
        </w:rPr>
        <w:t>）、</w:t>
      </w:r>
      <w:r>
        <w:rPr>
          <w:rFonts w:hint="eastAsia"/>
        </w:rPr>
        <w:t>项目验收方法和标准</w:t>
      </w:r>
      <w:bookmarkEnd w:id="278"/>
      <w:bookmarkEnd w:id="279"/>
      <w:bookmarkEnd w:id="280"/>
      <w:bookmarkEnd w:id="281"/>
      <w:bookmarkEnd w:id="282"/>
      <w:bookmarkEnd w:id="283"/>
      <w:bookmarkEnd w:id="284"/>
      <w:bookmarkEnd w:id="285"/>
      <w:bookmarkEnd w:id="286"/>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1.验收流程：验收分交货验收、初步验收、安装验收、综合验收四个阶段。</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交货验收：货物运抵采购方指定的地点时，供应商代表到现场交货，交货时须书面告知采购方签收注意事项，包括但不限于提醒签收人注意外包装完好无损、倾倒标识指示等细节。采购人代表检查所提示项无误后签收，完成货物交接。</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3.初步验收：初步验收时，供应商应向采购方交付产品质检部门从同类产品中抽样检查合格的检测报告或产品质量认证证书。供应商还应向比采购方免费提供货物技术性能条件说明书、货物操作使用说明书、操作手册等其他采购方要求提供的资料。依据供应商提供的装箱清单、检验合格证书、使用说明书及有关质量标准的报告等有关资料，由采购方、供应商双方共同开箱验货，验收时如发现所交付的货物存在短装、次品、损坏或其它不符合标准及本合同约定的情形，双方应签署备忘录或由采购方制作现场记录。备忘录与现场记录均可证明供应商交付的货物存在短装、次品、损坏或其它不符合标准及本合同约定的情形。供应商应在7日内无偿给予更换、补齐，由此产生的有关费用由供应商承担，由此产生的时间延误将导致验收期限相应顺延，由此给采购方造成损失的，供应商应当负责赔偿。</w:t>
      </w:r>
    </w:p>
    <w:p>
      <w:pPr>
        <w:adjustRightInd w:val="0"/>
        <w:snapToGrid w:val="0"/>
        <w:spacing w:line="360" w:lineRule="auto"/>
        <w:ind w:firstLine="420" w:firstLineChars="200"/>
        <w:rPr>
          <w:rFonts w:ascii="宋体" w:hAnsi="宋体" w:cs="宋体"/>
          <w:color w:val="00B0F0"/>
          <w:szCs w:val="21"/>
        </w:rPr>
      </w:pPr>
      <w:r>
        <w:rPr>
          <w:rFonts w:hint="eastAsia" w:ascii="宋体" w:hAnsi="宋体" w:cs="宋体"/>
          <w:szCs w:val="21"/>
        </w:rPr>
        <w:t>4.安装验收：</w:t>
      </w:r>
      <w:r>
        <w:rPr>
          <w:rFonts w:hint="eastAsia" w:ascii="宋体" w:hAnsi="宋体" w:cs="宋体"/>
          <w:color w:val="00B0F0"/>
          <w:szCs w:val="21"/>
        </w:rPr>
        <w:t>供应商完成安装调试工作后应通知采购方，采购方应在接到供应商通知后5个工作日内组织技术验收，采购方成立的技术验收小组根据磋商文件技术要求和中标单位的技术响应文件的各项技术指标、功能进行验证和测试，测试工具由中标单位提供。各项技术指标、功能完全符合要求，进入</w:t>
      </w:r>
      <w:r>
        <w:rPr>
          <w:rFonts w:ascii="宋体" w:hAnsi="宋体" w:cs="宋体"/>
          <w:color w:val="00B0F0"/>
          <w:szCs w:val="21"/>
        </w:rPr>
        <w:t>15</w:t>
      </w:r>
      <w:r>
        <w:rPr>
          <w:rFonts w:hint="eastAsia" w:ascii="宋体" w:hAnsi="宋体" w:cs="宋体"/>
          <w:color w:val="00B0F0"/>
          <w:szCs w:val="21"/>
        </w:rPr>
        <w:t>天试用期。如试用期内发现货物存在质量问题，由供应商无偿完成修复并重新起算30天试用期。如试用期内未发现货物存在质量问题，试用期结束后，采购方应在10日内开始综合验收。</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5.综合验收：采购方于试用期结束后组织综合验收，包括形成技术验收报告，完成资产验收。采购方无故不进行综合验收工作并已使用货物的，视同已安装调试完成并验收合格。如综合验收合格，双方签署《验收报告》。</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6.其他未尽事宜由双方自行约定相关验收细则。</w:t>
      </w:r>
    </w:p>
    <w:p>
      <w:pPr>
        <w:pStyle w:val="6"/>
      </w:pPr>
      <w:bookmarkStart w:id="287" w:name="_Toc20928"/>
      <w:bookmarkStart w:id="288" w:name="_Toc8843"/>
      <w:bookmarkStart w:id="289" w:name="_Toc112234542"/>
      <w:bookmarkStart w:id="290" w:name="_Toc7030"/>
      <w:bookmarkStart w:id="291" w:name="_Toc5676"/>
      <w:bookmarkStart w:id="292" w:name="_Toc10006"/>
      <w:bookmarkStart w:id="293" w:name="_Toc821"/>
      <w:bookmarkStart w:id="294" w:name="_Toc26477"/>
      <w:bookmarkStart w:id="295" w:name="_Toc112257085"/>
      <w:r>
        <w:rPr>
          <w:rFonts w:hint="eastAsia"/>
          <w:snapToGrid w:val="0"/>
        </w:rPr>
        <w:t>（</w:t>
      </w:r>
      <w:r>
        <w:rPr>
          <w:rFonts w:hint="eastAsia"/>
        </w:rPr>
        <w:t>五</w:t>
      </w:r>
      <w:r>
        <w:rPr>
          <w:rFonts w:hint="eastAsia"/>
          <w:snapToGrid w:val="0"/>
        </w:rPr>
        <w:t>）、</w:t>
      </w:r>
      <w:r>
        <w:rPr>
          <w:rFonts w:hint="eastAsia"/>
        </w:rPr>
        <w:t>违约责任</w:t>
      </w:r>
      <w:bookmarkEnd w:id="287"/>
      <w:bookmarkEnd w:id="288"/>
      <w:bookmarkEnd w:id="289"/>
      <w:bookmarkEnd w:id="290"/>
      <w:bookmarkEnd w:id="291"/>
      <w:bookmarkEnd w:id="292"/>
      <w:bookmarkEnd w:id="293"/>
      <w:bookmarkEnd w:id="294"/>
      <w:bookmarkEnd w:id="295"/>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1、甲乙双方必须遵守本合同并执行合同中的各项规定，保证本合同的正常履行。</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如因乙方在履行过程中的疏忽、失职、过错等故意或者过失原因给甲方造成损失或侵害，包括但不限于甲方本身的财产损失、由此而导致的甲方对任何第三方的法律责任等，乙方对此均应承担全部的赔偿责任。</w:t>
      </w:r>
    </w:p>
    <w:p>
      <w:pPr>
        <w:adjustRightInd w:val="0"/>
        <w:snapToGrid w:val="0"/>
        <w:spacing w:line="360" w:lineRule="auto"/>
        <w:ind w:left="240" w:firstLine="422" w:firstLineChars="200"/>
        <w:rPr>
          <w:rFonts w:ascii="宋体" w:hAnsi="宋体" w:cs="宋体"/>
          <w:szCs w:val="21"/>
        </w:rPr>
      </w:pPr>
      <w:r>
        <w:rPr>
          <w:rFonts w:hint="eastAsia" w:ascii="宋体" w:hAnsi="宋体" w:cs="宋体"/>
          <w:b/>
          <w:szCs w:val="21"/>
        </w:rPr>
        <w:t>注：甲方指本磋商文件中的采购人，乙方指本磋商文件中的成交供应商。</w:t>
      </w:r>
    </w:p>
    <w:p>
      <w:pPr>
        <w:adjustRightInd w:val="0"/>
        <w:snapToGrid w:val="0"/>
        <w:spacing w:line="360" w:lineRule="auto"/>
        <w:ind w:left="241" w:firstLine="422" w:firstLineChars="200"/>
        <w:rPr>
          <w:rStyle w:val="60"/>
          <w:rFonts w:ascii="宋体" w:hAnsi="宋体" w:eastAsia="宋体" w:cs="宋体"/>
          <w:sz w:val="21"/>
          <w:szCs w:val="21"/>
        </w:rPr>
      </w:pPr>
      <w:r>
        <w:rPr>
          <w:rStyle w:val="60"/>
          <w:rFonts w:hint="eastAsia" w:ascii="宋体" w:hAnsi="宋体" w:eastAsia="宋体" w:cs="宋体"/>
          <w:sz w:val="21"/>
          <w:szCs w:val="21"/>
        </w:rPr>
        <w:t>（六）争议解决办法</w:t>
      </w:r>
    </w:p>
    <w:p>
      <w:pPr>
        <w:adjustRightInd w:val="0"/>
        <w:snapToGrid w:val="0"/>
        <w:spacing w:line="360" w:lineRule="auto"/>
        <w:ind w:left="239" w:leftChars="114" w:firstLine="420" w:firstLineChars="200"/>
        <w:rPr>
          <w:rFonts w:ascii="宋体" w:hAnsi="宋体" w:cs="宋体"/>
          <w:szCs w:val="21"/>
        </w:rPr>
      </w:pPr>
      <w:r>
        <w:rPr>
          <w:rFonts w:hint="eastAsia" w:ascii="宋体" w:hAnsi="宋体" w:cs="宋体"/>
          <w:szCs w:val="21"/>
        </w:rPr>
        <w:t>1、甲乙双方就本协议所产生的任何争议都应该进行友好协商，协商解决不成的，任何一方均可向原告方所在地的仲裁委员会申请仲裁或直接向原告方所在地有管辖权的人民法院提起诉讼。</w:t>
      </w:r>
    </w:p>
    <w:p>
      <w:pPr>
        <w:adjustRightInd w:val="0"/>
        <w:snapToGrid w:val="0"/>
        <w:spacing w:line="360" w:lineRule="auto"/>
        <w:ind w:left="239" w:leftChars="114" w:firstLine="420" w:firstLineChars="200"/>
        <w:rPr>
          <w:rFonts w:ascii="宋体" w:hAnsi="宋体" w:cs="宋体"/>
          <w:szCs w:val="21"/>
        </w:rPr>
      </w:pPr>
      <w:r>
        <w:rPr>
          <w:rFonts w:hint="eastAsia" w:ascii="宋体" w:hAnsi="宋体" w:cs="宋体"/>
          <w:szCs w:val="21"/>
        </w:rPr>
        <w:t>2、仲裁费或诉讼费应由败诉方承担。</w:t>
      </w:r>
    </w:p>
    <w:p>
      <w:pPr>
        <w:adjustRightInd w:val="0"/>
        <w:snapToGrid w:val="0"/>
        <w:spacing w:line="360" w:lineRule="auto"/>
        <w:ind w:left="239" w:leftChars="114" w:firstLine="420" w:firstLineChars="200"/>
        <w:rPr>
          <w:rFonts w:ascii="宋体" w:hAnsi="宋体" w:cs="宋体"/>
          <w:szCs w:val="21"/>
        </w:rPr>
      </w:pPr>
      <w:r>
        <w:rPr>
          <w:rFonts w:hint="eastAsia" w:ascii="宋体" w:hAnsi="宋体" w:cs="宋体"/>
          <w:szCs w:val="21"/>
        </w:rPr>
        <w:t>3、在仲裁或诉讼期间，除正在进行仲裁或诉讼的部分外，合同其他部分继续执行。</w:t>
      </w:r>
    </w:p>
    <w:p>
      <w:pPr>
        <w:adjustRightInd w:val="0"/>
        <w:snapToGrid w:val="0"/>
        <w:spacing w:line="360" w:lineRule="auto"/>
        <w:ind w:left="240" w:firstLine="422" w:firstLineChars="200"/>
        <w:rPr>
          <w:rFonts w:ascii="宋体" w:hAnsi="宋体" w:cs="宋体"/>
          <w:b/>
          <w:szCs w:val="21"/>
        </w:rPr>
      </w:pPr>
      <w:r>
        <w:rPr>
          <w:rFonts w:hint="eastAsia" w:ascii="宋体" w:hAnsi="宋体" w:cs="宋体"/>
          <w:b/>
          <w:szCs w:val="21"/>
        </w:rPr>
        <w:t>注：甲方指本磋商文件中的采购人，乙方指本磋商文件中的成交供应商。</w:t>
      </w:r>
    </w:p>
    <w:p>
      <w:pPr>
        <w:adjustRightInd w:val="0"/>
        <w:snapToGrid w:val="0"/>
        <w:spacing w:line="360" w:lineRule="auto"/>
        <w:ind w:left="241" w:firstLine="422" w:firstLineChars="200"/>
        <w:rPr>
          <w:rFonts w:ascii="宋体" w:hAnsi="宋体" w:cs="宋体"/>
          <w:szCs w:val="21"/>
        </w:rPr>
      </w:pPr>
      <w:r>
        <w:rPr>
          <w:rStyle w:val="60"/>
          <w:rFonts w:hint="eastAsia" w:ascii="宋体" w:hAnsi="宋体" w:eastAsia="宋体" w:cs="宋体"/>
          <w:sz w:val="21"/>
          <w:szCs w:val="21"/>
        </w:rPr>
        <w:t>（七）履约能力要求</w:t>
      </w:r>
    </w:p>
    <w:p>
      <w:pPr>
        <w:adjustRightInd w:val="0"/>
        <w:snapToGrid w:val="0"/>
        <w:spacing w:line="360" w:lineRule="auto"/>
        <w:ind w:left="239" w:leftChars="114" w:firstLine="420" w:firstLineChars="200"/>
        <w:rPr>
          <w:rFonts w:ascii="宋体" w:hAnsi="宋体" w:cs="宋体"/>
          <w:szCs w:val="21"/>
        </w:rPr>
      </w:pPr>
      <w:r>
        <w:rPr>
          <w:rFonts w:hint="eastAsia" w:ascii="宋体" w:hAnsi="宋体" w:cs="宋体"/>
          <w:szCs w:val="21"/>
        </w:rPr>
        <w:t>1、履约能力包括供应商的实施方案、人员配置、业绩等与供应商履约本项目的相关综合能力，包括但不限于以下要求的内容：</w:t>
      </w:r>
    </w:p>
    <w:p>
      <w:pPr>
        <w:adjustRightInd w:val="0"/>
        <w:snapToGrid w:val="0"/>
        <w:spacing w:line="360" w:lineRule="auto"/>
        <w:ind w:left="197" w:leftChars="94" w:firstLine="420" w:firstLineChars="200"/>
        <w:rPr>
          <w:rFonts w:ascii="宋体" w:hAnsi="宋体" w:cs="宋体"/>
          <w:szCs w:val="21"/>
        </w:rPr>
      </w:pPr>
      <w:r>
        <w:rPr>
          <w:rFonts w:hint="eastAsia" w:ascii="宋体" w:hAnsi="宋体" w:cs="宋体"/>
          <w:szCs w:val="21"/>
        </w:rPr>
        <w:t>2、供应商运输及安装方案编制要求</w:t>
      </w:r>
    </w:p>
    <w:p>
      <w:pPr>
        <w:adjustRightInd w:val="0"/>
        <w:snapToGrid w:val="0"/>
        <w:spacing w:line="360" w:lineRule="auto"/>
        <w:ind w:left="239" w:leftChars="114" w:firstLine="420" w:firstLineChars="200"/>
        <w:rPr>
          <w:rFonts w:ascii="宋体" w:hAnsi="宋体" w:cs="宋体"/>
          <w:szCs w:val="21"/>
        </w:rPr>
      </w:pPr>
      <w:r>
        <w:rPr>
          <w:rFonts w:hint="eastAsia" w:ascii="宋体" w:hAnsi="宋体" w:cs="宋体"/>
          <w:szCs w:val="21"/>
        </w:rPr>
        <w:t>运输及安装方案应包括本项目的具体实施方案，具体由供应商根据本项目特点及要求编制。</w:t>
      </w:r>
    </w:p>
    <w:p>
      <w:pPr>
        <w:adjustRightInd w:val="0"/>
        <w:snapToGrid w:val="0"/>
        <w:spacing w:line="360" w:lineRule="auto"/>
        <w:ind w:left="241" w:firstLine="422" w:firstLineChars="200"/>
        <w:rPr>
          <w:rStyle w:val="60"/>
          <w:rFonts w:ascii="宋体" w:hAnsi="宋体" w:eastAsia="宋体" w:cs="宋体"/>
          <w:sz w:val="21"/>
          <w:szCs w:val="21"/>
        </w:rPr>
      </w:pPr>
      <w:r>
        <w:rPr>
          <w:rStyle w:val="60"/>
          <w:rFonts w:hint="eastAsia" w:ascii="宋体" w:hAnsi="宋体" w:eastAsia="宋体" w:cs="宋体"/>
          <w:sz w:val="21"/>
          <w:szCs w:val="21"/>
        </w:rPr>
        <w:t>（八）其他商务要求</w:t>
      </w:r>
    </w:p>
    <w:p>
      <w:pPr>
        <w:tabs>
          <w:tab w:val="left" w:pos="540"/>
        </w:tabs>
        <w:adjustRightInd w:val="0"/>
        <w:snapToGrid w:val="0"/>
        <w:spacing w:line="360" w:lineRule="auto"/>
        <w:ind w:firstLine="420" w:firstLineChars="200"/>
        <w:rPr>
          <w:rFonts w:ascii="宋体" w:hAnsi="宋体" w:cs="宋体"/>
          <w:szCs w:val="21"/>
        </w:rPr>
      </w:pPr>
      <w:r>
        <w:rPr>
          <w:rFonts w:hint="eastAsia" w:ascii="宋体" w:hAnsi="宋体" w:cs="宋体"/>
          <w:szCs w:val="21"/>
        </w:rPr>
        <w:t>（1）本项目不允许成交供应商分包履约；</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（2）本项目严禁成交供应商任何形式的转包；</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3）成交供应商在履约中，如若涉及商品包装和快递包装的，须按财政部《关于印发〈商品包装采购需求标准（试行）〉、〈快递包装采购需求标准（试行）〉的通知》（财办库〔2020〕123号）规定的对应标准执行。</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（4）在本采购文件中没有提及的与本项目履约切实相关的事宜，在采购人与成交供应商订立合同时明细约定或后续补充约定（约定的内容须符合国家相关法律法规的规定）</w:t>
      </w:r>
    </w:p>
    <w:p>
      <w:pPr>
        <w:adjustRightInd w:val="0"/>
        <w:snapToGrid w:val="0"/>
        <w:spacing w:line="360" w:lineRule="auto"/>
        <w:ind w:firstLine="420" w:firstLineChars="200"/>
        <w:rPr>
          <w:rFonts w:ascii="宋体" w:hAnsi="宋体" w:cs="宋体"/>
          <w:szCs w:val="21"/>
          <w:lang w:bidi="ar"/>
        </w:rPr>
      </w:pPr>
    </w:p>
    <w:p>
      <w:pPr>
        <w:adjustRightInd w:val="0"/>
        <w:snapToGrid w:val="0"/>
        <w:spacing w:line="360" w:lineRule="auto"/>
        <w:ind w:firstLine="422" w:firstLineChars="200"/>
        <w:rPr>
          <w:rFonts w:ascii="宋体" w:hAnsi="宋体" w:cs="宋体"/>
          <w:b/>
          <w:bCs/>
          <w:color w:val="FF0000"/>
          <w:szCs w:val="21"/>
          <w:lang w:bidi="ar"/>
        </w:rPr>
      </w:pPr>
      <w:r>
        <w:rPr>
          <w:rFonts w:hint="eastAsia" w:ascii="宋体" w:hAnsi="宋体" w:cs="宋体"/>
          <w:b/>
          <w:bCs/>
          <w:color w:val="FF0000"/>
          <w:szCs w:val="21"/>
          <w:lang w:bidi="ar"/>
        </w:rPr>
        <w:t>注：以上标注实质性要求的均需在响应文件中作出响应。如在磋商过程中，经采购人同意，可以根据情况作出修改。</w:t>
      </w:r>
    </w:p>
    <w:p>
      <w:pPr>
        <w:rPr>
          <w:rFonts w:ascii="宋体" w:hAnsi="宋体"/>
        </w:rPr>
      </w:pPr>
    </w:p>
    <w:p>
      <w:pPr>
        <w:pStyle w:val="43"/>
      </w:pPr>
      <w:r>
        <w:rPr>
          <w:rFonts w:hint="eastAsia"/>
          <w:color w:val="FF0000"/>
          <w:sz w:val="24"/>
        </w:rPr>
        <w:br w:type="page"/>
      </w:r>
      <w:bookmarkStart w:id="296" w:name="_Toc112257086"/>
      <w:r>
        <w:rPr>
          <w:rFonts w:hint="eastAsia"/>
        </w:rPr>
        <w:t>第五章  评审办法</w:t>
      </w:r>
      <w:bookmarkEnd w:id="189"/>
      <w:bookmarkEnd w:id="296"/>
    </w:p>
    <w:p>
      <w:pPr>
        <w:pStyle w:val="5"/>
      </w:pPr>
      <w:bookmarkStart w:id="297" w:name="_Toc217446097"/>
      <w:bookmarkStart w:id="298" w:name="_Toc208849007"/>
      <w:bookmarkStart w:id="299" w:name="_Toc183682415"/>
      <w:bookmarkStart w:id="300" w:name="_Toc183582280"/>
      <w:bookmarkStart w:id="301" w:name="_Toc518487383"/>
      <w:bookmarkStart w:id="302" w:name="_Toc112257087"/>
      <w:r>
        <w:rPr>
          <w:rFonts w:hint="eastAsia"/>
        </w:rPr>
        <w:t>一、总则</w:t>
      </w:r>
      <w:bookmarkEnd w:id="297"/>
      <w:bookmarkEnd w:id="298"/>
      <w:bookmarkEnd w:id="299"/>
      <w:bookmarkEnd w:id="300"/>
      <w:bookmarkEnd w:id="301"/>
      <w:bookmarkEnd w:id="302"/>
    </w:p>
    <w:p>
      <w:pPr>
        <w:adjustRightInd w:val="0"/>
        <w:snapToGrid w:val="0"/>
        <w:spacing w:line="360" w:lineRule="auto"/>
        <w:ind w:firstLine="420" w:firstLineChars="200"/>
        <w:rPr>
          <w:rFonts w:ascii="宋体" w:hAnsi="宋体"/>
          <w:szCs w:val="21"/>
        </w:rPr>
      </w:pPr>
      <w:r>
        <w:rPr>
          <w:rFonts w:hint="eastAsia" w:ascii="宋体" w:hAnsi="宋体"/>
          <w:szCs w:val="21"/>
        </w:rPr>
        <w:t>（一）根据《中华人民共和国采购法》、《中华人民共和国采购法实施条例》、《采购非招标采购方式管理办法》、</w:t>
      </w:r>
      <w:r>
        <w:rPr>
          <w:rFonts w:ascii="宋体" w:hAnsi="宋体"/>
          <w:szCs w:val="21"/>
        </w:rPr>
        <w:t>《</w:t>
      </w:r>
      <w:r>
        <w:rPr>
          <w:rFonts w:hint="eastAsia" w:ascii="宋体" w:hAnsi="宋体"/>
          <w:szCs w:val="21"/>
        </w:rPr>
        <w:t>四川省</w:t>
      </w:r>
      <w:r>
        <w:rPr>
          <w:rFonts w:ascii="宋体" w:hAnsi="宋体"/>
          <w:szCs w:val="21"/>
        </w:rPr>
        <w:t>评审工作规程》</w:t>
      </w:r>
      <w:r>
        <w:rPr>
          <w:rFonts w:hint="eastAsia" w:ascii="宋体" w:hAnsi="宋体"/>
          <w:szCs w:val="21"/>
        </w:rPr>
        <w:t>等法律制度，结合采购项目特点制定本评审办法。</w:t>
      </w:r>
    </w:p>
    <w:p>
      <w:pPr>
        <w:adjustRightInd w:val="0"/>
        <w:snapToGrid w:val="0"/>
        <w:spacing w:line="360" w:lineRule="auto"/>
        <w:ind w:firstLine="420" w:firstLineChars="200"/>
        <w:rPr>
          <w:rFonts w:ascii="宋体" w:hAnsi="宋体"/>
          <w:szCs w:val="21"/>
        </w:rPr>
      </w:pPr>
      <w:r>
        <w:rPr>
          <w:rFonts w:hint="eastAsia" w:ascii="宋体" w:hAnsi="宋体"/>
          <w:szCs w:val="21"/>
        </w:rPr>
        <w:t>（二）评审工作应遵循公平、公正、科学及择优的原则，并以相同的评审、磋商程序和标准对待所有的供应商。</w:t>
      </w:r>
    </w:p>
    <w:p>
      <w:pPr>
        <w:adjustRightInd w:val="0"/>
        <w:snapToGrid w:val="0"/>
        <w:spacing w:line="360" w:lineRule="auto"/>
        <w:ind w:firstLine="420" w:firstLineChars="200"/>
        <w:rPr>
          <w:rFonts w:ascii="宋体" w:hAnsi="宋体"/>
          <w:szCs w:val="21"/>
        </w:rPr>
      </w:pPr>
      <w:r>
        <w:rPr>
          <w:rFonts w:hint="eastAsia" w:ascii="宋体" w:hAnsi="宋体"/>
          <w:szCs w:val="21"/>
        </w:rPr>
        <w:t>（三）评审小组按照磋商文件规定的评审方法和标准进行评审、磋商，并独立履行下列职责：</w:t>
      </w:r>
    </w:p>
    <w:p>
      <w:pPr>
        <w:adjustRightInd w:val="0"/>
        <w:snapToGrid w:val="0"/>
        <w:spacing w:line="360" w:lineRule="auto"/>
        <w:ind w:firstLine="420" w:firstLineChars="200"/>
        <w:rPr>
          <w:rFonts w:ascii="宋体" w:hAnsi="宋体"/>
          <w:szCs w:val="21"/>
        </w:rPr>
      </w:pPr>
      <w:bookmarkStart w:id="303" w:name="_Toc217446098"/>
      <w:r>
        <w:rPr>
          <w:rFonts w:hint="eastAsia" w:ascii="宋体" w:hAnsi="宋体"/>
          <w:szCs w:val="21"/>
        </w:rPr>
        <w:t>1、审查磋商文件内容是否违反国家有关强制性规定或者磋商文件存在歧义、重大缺陷；</w:t>
      </w:r>
    </w:p>
    <w:p>
      <w:pPr>
        <w:adjustRightInd w:val="0"/>
        <w:snapToGrid w:val="0"/>
        <w:spacing w:line="360" w:lineRule="auto"/>
        <w:ind w:firstLine="420" w:firstLineChars="200"/>
        <w:rPr>
          <w:rFonts w:ascii="宋体" w:hAnsi="宋体"/>
          <w:szCs w:val="21"/>
        </w:rPr>
      </w:pPr>
      <w:r>
        <w:rPr>
          <w:rFonts w:hint="eastAsia" w:ascii="宋体" w:hAnsi="宋体"/>
          <w:szCs w:val="21"/>
        </w:rPr>
        <w:t>2、审查供应商响应文件是否满足磋商文件要求，并作出公正评价；</w:t>
      </w:r>
    </w:p>
    <w:p>
      <w:pPr>
        <w:adjustRightInd w:val="0"/>
        <w:snapToGrid w:val="0"/>
        <w:spacing w:line="360" w:lineRule="auto"/>
        <w:ind w:firstLine="420" w:firstLineChars="200"/>
        <w:rPr>
          <w:rFonts w:ascii="宋体" w:hAnsi="宋体"/>
          <w:szCs w:val="21"/>
        </w:rPr>
      </w:pPr>
      <w:r>
        <w:rPr>
          <w:rFonts w:hint="eastAsia" w:ascii="宋体" w:hAnsi="宋体"/>
          <w:szCs w:val="21"/>
        </w:rPr>
        <w:t>3、根据需要要求供应商对响应文件有关事项作出澄清、说明或者纠正；</w:t>
      </w:r>
    </w:p>
    <w:p>
      <w:pPr>
        <w:adjustRightInd w:val="0"/>
        <w:snapToGrid w:val="0"/>
        <w:spacing w:line="360" w:lineRule="auto"/>
        <w:ind w:firstLine="420" w:firstLineChars="200"/>
        <w:rPr>
          <w:rFonts w:ascii="宋体" w:hAnsi="宋体"/>
          <w:szCs w:val="21"/>
        </w:rPr>
      </w:pPr>
      <w:r>
        <w:rPr>
          <w:rFonts w:hint="eastAsia" w:ascii="宋体" w:hAnsi="宋体"/>
          <w:szCs w:val="21"/>
        </w:rPr>
        <w:t>4、推荐成交候选供应商名单，或者受采购人委托确定成交供应商；</w:t>
      </w:r>
    </w:p>
    <w:p>
      <w:pPr>
        <w:adjustRightInd w:val="0"/>
        <w:snapToGrid w:val="0"/>
        <w:spacing w:line="360" w:lineRule="auto"/>
        <w:ind w:firstLine="420" w:firstLineChars="200"/>
        <w:rPr>
          <w:rFonts w:ascii="宋体" w:hAnsi="宋体"/>
          <w:szCs w:val="21"/>
        </w:rPr>
      </w:pPr>
      <w:r>
        <w:rPr>
          <w:rFonts w:hint="eastAsia" w:ascii="宋体" w:hAnsi="宋体"/>
          <w:szCs w:val="21"/>
        </w:rPr>
        <w:t>5、起草评审报告并进行签署；</w:t>
      </w:r>
    </w:p>
    <w:p>
      <w:pPr>
        <w:adjustRightInd w:val="0"/>
        <w:snapToGrid w:val="0"/>
        <w:spacing w:line="360" w:lineRule="auto"/>
        <w:ind w:firstLine="420" w:firstLineChars="200"/>
        <w:rPr>
          <w:rFonts w:ascii="宋体" w:hAnsi="宋体"/>
          <w:szCs w:val="21"/>
        </w:rPr>
      </w:pPr>
      <w:r>
        <w:rPr>
          <w:rFonts w:hint="eastAsia" w:ascii="宋体" w:hAnsi="宋体"/>
          <w:szCs w:val="21"/>
        </w:rPr>
        <w:t>6、向采购单位、财政部门或者其他监督部门报告非法干预评审工作的行为；</w:t>
      </w:r>
    </w:p>
    <w:p>
      <w:pPr>
        <w:adjustRightInd w:val="0"/>
        <w:snapToGrid w:val="0"/>
        <w:spacing w:line="360" w:lineRule="auto"/>
        <w:ind w:firstLine="420" w:firstLineChars="200"/>
        <w:rPr>
          <w:rFonts w:ascii="宋体" w:hAnsi="宋体"/>
          <w:szCs w:val="21"/>
        </w:rPr>
      </w:pPr>
      <w:r>
        <w:rPr>
          <w:rFonts w:hint="eastAsia" w:ascii="宋体" w:hAnsi="宋体"/>
          <w:szCs w:val="21"/>
        </w:rPr>
        <w:t>7、法律、法规和规章规定的其他职责。</w:t>
      </w:r>
    </w:p>
    <w:p>
      <w:pPr>
        <w:adjustRightInd w:val="0"/>
        <w:snapToGrid w:val="0"/>
        <w:spacing w:line="360" w:lineRule="auto"/>
        <w:ind w:firstLine="420" w:firstLineChars="200"/>
        <w:rPr>
          <w:rFonts w:ascii="宋体" w:hAnsi="宋体"/>
          <w:szCs w:val="21"/>
        </w:rPr>
      </w:pPr>
      <w:r>
        <w:rPr>
          <w:rFonts w:hint="eastAsia" w:ascii="宋体" w:hAnsi="宋体"/>
          <w:szCs w:val="21"/>
        </w:rPr>
        <w:t>（四）评审过程独立、保密。供应商非法干预评审过程的行为将导致其响应文件作为无效处理。</w:t>
      </w:r>
    </w:p>
    <w:p>
      <w:pPr>
        <w:adjustRightInd w:val="0"/>
        <w:snapToGrid w:val="0"/>
        <w:spacing w:line="360" w:lineRule="auto"/>
        <w:ind w:firstLine="420" w:firstLineChars="200"/>
        <w:rPr>
          <w:rFonts w:ascii="宋体" w:hAnsi="宋体"/>
          <w:szCs w:val="21"/>
        </w:rPr>
      </w:pPr>
      <w:r>
        <w:rPr>
          <w:rFonts w:hint="eastAsia" w:ascii="宋体" w:hAnsi="宋体"/>
          <w:szCs w:val="21"/>
        </w:rPr>
        <w:t>（五）评审小组评价响应文件的响应性，对于供应商而言，除评审小组要求其澄清、说明或者纠正而提供的资料外，仅依据响应文件本身的内容，不寻求其他外部证据。</w:t>
      </w:r>
    </w:p>
    <w:p>
      <w:pPr>
        <w:pStyle w:val="5"/>
      </w:pPr>
      <w:bookmarkStart w:id="304" w:name="_Toc518487384"/>
      <w:bookmarkStart w:id="305" w:name="_Toc112257088"/>
      <w:r>
        <w:rPr>
          <w:rFonts w:hint="eastAsia"/>
        </w:rPr>
        <w:t>二、评审方法</w:t>
      </w:r>
      <w:bookmarkEnd w:id="304"/>
      <w:bookmarkEnd w:id="305"/>
    </w:p>
    <w:bookmarkEnd w:id="303"/>
    <w:p>
      <w:pPr>
        <w:adjustRightInd w:val="0"/>
        <w:snapToGrid w:val="0"/>
        <w:spacing w:line="360" w:lineRule="auto"/>
        <w:ind w:firstLine="420" w:firstLineChars="200"/>
        <w:rPr>
          <w:rFonts w:ascii="宋体" w:hAnsi="宋体"/>
          <w:szCs w:val="21"/>
        </w:rPr>
      </w:pPr>
      <w:bookmarkStart w:id="306" w:name="_Toc217446060"/>
      <w:bookmarkStart w:id="307" w:name="_Toc518487386"/>
      <w:bookmarkStart w:id="308" w:name="_Toc217446099"/>
      <w:r>
        <w:rPr>
          <w:rFonts w:hint="eastAsia" w:ascii="宋体" w:hAnsi="宋体"/>
          <w:szCs w:val="21"/>
        </w:rPr>
        <w:t>（一）本次评选采用综合评估法。评选委员会对通过初步评选的申请文件，按照评分标准进行打分，并按得分由高到低顺序推荐中选候选人。</w:t>
      </w:r>
    </w:p>
    <w:p>
      <w:pPr>
        <w:adjustRightInd w:val="0"/>
        <w:snapToGrid w:val="0"/>
        <w:spacing w:line="360" w:lineRule="auto"/>
        <w:ind w:firstLine="420" w:firstLineChars="200"/>
        <w:rPr>
          <w:rFonts w:ascii="宋体" w:hAnsi="宋体"/>
          <w:szCs w:val="21"/>
        </w:rPr>
      </w:pPr>
      <w:r>
        <w:rPr>
          <w:rFonts w:hint="eastAsia" w:ascii="宋体" w:hAnsi="宋体"/>
          <w:szCs w:val="21"/>
        </w:rPr>
        <w:t>（二）评选委员会成员采用无记名评选方式，任何改动处均须由该成员签字确认。</w:t>
      </w:r>
    </w:p>
    <w:p>
      <w:pPr>
        <w:pStyle w:val="5"/>
      </w:pPr>
      <w:bookmarkStart w:id="309" w:name="_Toc112257089"/>
      <w:r>
        <w:rPr>
          <w:rFonts w:hint="eastAsia"/>
        </w:rPr>
        <w:t>三、评标细则及标准</w:t>
      </w:r>
      <w:bookmarkEnd w:id="309"/>
    </w:p>
    <w:p>
      <w:pPr>
        <w:adjustRightInd w:val="0"/>
        <w:snapToGrid w:val="0"/>
        <w:spacing w:line="360" w:lineRule="auto"/>
        <w:ind w:left="241" w:firstLine="422" w:firstLineChars="200"/>
        <w:rPr>
          <w:rStyle w:val="60"/>
          <w:rFonts w:ascii="宋体" w:hAnsi="宋体" w:eastAsia="宋体" w:cs="宋体"/>
          <w:sz w:val="21"/>
          <w:szCs w:val="21"/>
        </w:rPr>
      </w:pPr>
      <w:r>
        <w:rPr>
          <w:rStyle w:val="60"/>
          <w:rFonts w:hint="eastAsia" w:ascii="宋体" w:hAnsi="宋体" w:eastAsia="宋体" w:cs="宋体"/>
          <w:sz w:val="21"/>
          <w:szCs w:val="21"/>
        </w:rPr>
        <w:t>（一）初步评选标准</w:t>
      </w:r>
    </w:p>
    <w:p>
      <w:pPr>
        <w:adjustRightInd w:val="0"/>
        <w:snapToGrid w:val="0"/>
        <w:spacing w:line="360" w:lineRule="auto"/>
        <w:ind w:firstLine="420" w:firstLineChars="200"/>
        <w:rPr>
          <w:rFonts w:ascii="宋体" w:hAnsi="宋体"/>
          <w:szCs w:val="21"/>
        </w:rPr>
      </w:pPr>
      <w:r>
        <w:rPr>
          <w:rFonts w:hint="eastAsia" w:ascii="宋体" w:hAnsi="宋体"/>
          <w:szCs w:val="21"/>
        </w:rPr>
        <w:t>在初审之前，评选委员会应认真研究比选文件，了解和熟悉比选的目标、范围和性质，比选文件的主要要求、标准和条款，比选评选标准、方法和评选过程中需考虑的相关因素。</w:t>
      </w:r>
    </w:p>
    <w:p>
      <w:pPr>
        <w:adjustRightInd w:val="0"/>
        <w:snapToGrid w:val="0"/>
        <w:spacing w:line="360" w:lineRule="auto"/>
        <w:ind w:firstLine="420" w:firstLineChars="200"/>
        <w:rPr>
          <w:rFonts w:ascii="宋体" w:hAnsi="宋体"/>
          <w:szCs w:val="21"/>
        </w:rPr>
      </w:pPr>
      <w:r>
        <w:rPr>
          <w:rFonts w:hint="eastAsia" w:ascii="宋体" w:hAnsi="宋体"/>
          <w:szCs w:val="21"/>
        </w:rPr>
        <w:t>符合性及完整性评选标准见评选办法前附表。</w:t>
      </w:r>
    </w:p>
    <w:p>
      <w:pPr>
        <w:adjustRightInd w:val="0"/>
        <w:snapToGrid w:val="0"/>
        <w:spacing w:line="360" w:lineRule="auto"/>
        <w:ind w:left="241" w:firstLine="422" w:firstLineChars="200"/>
        <w:rPr>
          <w:rFonts w:ascii="宋体" w:hAnsi="宋体"/>
        </w:rPr>
      </w:pPr>
      <w:r>
        <w:rPr>
          <w:rStyle w:val="60"/>
          <w:rFonts w:hint="eastAsia" w:ascii="宋体" w:hAnsi="宋体" w:eastAsia="宋体" w:cs="宋体"/>
          <w:sz w:val="21"/>
          <w:szCs w:val="21"/>
        </w:rPr>
        <w:t>（二）</w:t>
      </w:r>
      <w:bookmarkEnd w:id="306"/>
      <w:bookmarkEnd w:id="307"/>
      <w:bookmarkEnd w:id="308"/>
      <w:r>
        <w:rPr>
          <w:rFonts w:hint="eastAsia" w:ascii="宋体" w:hAnsi="宋体"/>
        </w:rPr>
        <w:t>综合评分明细表</w:t>
      </w:r>
    </w:p>
    <w:p>
      <w:pPr>
        <w:pStyle w:val="670"/>
        <w:tabs>
          <w:tab w:val="clear" w:pos="360"/>
        </w:tabs>
        <w:ind w:left="480" w:firstLine="0" w:firstLineChars="0"/>
      </w:pPr>
      <w:r>
        <w:rPr>
          <w:rFonts w:hint="eastAsia"/>
        </w:rPr>
        <w:t>综合评分明细表的制定以科学合理、降低评委会自由裁量权为原则。</w:t>
      </w:r>
    </w:p>
    <w:p>
      <w:pPr>
        <w:widowControl/>
        <w:jc w:val="left"/>
        <w:rPr>
          <w:rFonts w:ascii="宋体" w:hAnsi="宋体"/>
          <w:snapToGrid w:val="0"/>
          <w:sz w:val="24"/>
        </w:rPr>
      </w:pPr>
      <w:r>
        <w:br w:type="page"/>
      </w:r>
    </w:p>
    <w:p>
      <w:pPr>
        <w:pStyle w:val="670"/>
        <w:tabs>
          <w:tab w:val="clear" w:pos="360"/>
        </w:tabs>
        <w:ind w:left="480" w:firstLine="0" w:firstLineChars="0"/>
        <w:jc w:val="center"/>
      </w:pPr>
      <w:r>
        <w:rPr>
          <w:rFonts w:hint="eastAsia"/>
        </w:rPr>
        <w:t>综合评分明细表</w:t>
      </w:r>
    </w:p>
    <w:tbl>
      <w:tblPr>
        <w:tblStyle w:val="47"/>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59"/>
        <w:gridCol w:w="1014"/>
        <w:gridCol w:w="5870"/>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750" w:type="dxa"/>
            <w:vAlign w:val="center"/>
          </w:tcPr>
          <w:p>
            <w:pPr>
              <w:rPr>
                <w:rFonts w:ascii="宋体" w:hAnsi="宋体"/>
              </w:rPr>
            </w:pPr>
            <w:r>
              <w:rPr>
                <w:rFonts w:hint="eastAsia" w:ascii="宋体" w:hAnsi="宋体"/>
              </w:rPr>
              <w:t>序号</w:t>
            </w:r>
          </w:p>
        </w:tc>
        <w:tc>
          <w:tcPr>
            <w:tcW w:w="1159" w:type="dxa"/>
            <w:vAlign w:val="center"/>
          </w:tcPr>
          <w:p>
            <w:pPr>
              <w:rPr>
                <w:rFonts w:ascii="宋体" w:hAnsi="宋体"/>
              </w:rPr>
            </w:pPr>
            <w:r>
              <w:rPr>
                <w:rFonts w:hint="eastAsia" w:ascii="宋体" w:hAnsi="宋体"/>
              </w:rPr>
              <w:t>评分因素</w:t>
            </w:r>
          </w:p>
          <w:p>
            <w:pPr>
              <w:rPr>
                <w:rFonts w:ascii="宋体" w:hAnsi="宋体"/>
              </w:rPr>
            </w:pPr>
            <w:r>
              <w:rPr>
                <w:rFonts w:hint="eastAsia" w:ascii="宋体" w:hAnsi="宋体"/>
              </w:rPr>
              <w:t>及权重</w:t>
            </w:r>
          </w:p>
        </w:tc>
        <w:tc>
          <w:tcPr>
            <w:tcW w:w="1014" w:type="dxa"/>
            <w:vAlign w:val="center"/>
          </w:tcPr>
          <w:p>
            <w:pPr>
              <w:rPr>
                <w:rFonts w:ascii="宋体" w:hAnsi="宋体"/>
              </w:rPr>
            </w:pPr>
            <w:r>
              <w:rPr>
                <w:rFonts w:hint="eastAsia" w:ascii="宋体" w:hAnsi="宋体"/>
              </w:rPr>
              <w:t>分 值</w:t>
            </w:r>
          </w:p>
        </w:tc>
        <w:tc>
          <w:tcPr>
            <w:tcW w:w="5870" w:type="dxa"/>
            <w:vAlign w:val="center"/>
          </w:tcPr>
          <w:p>
            <w:pPr>
              <w:rPr>
                <w:rFonts w:ascii="宋体" w:hAnsi="宋体"/>
              </w:rPr>
            </w:pPr>
            <w:r>
              <w:rPr>
                <w:rFonts w:hint="eastAsia" w:ascii="宋体" w:hAnsi="宋体"/>
              </w:rPr>
              <w:t>评分标准</w:t>
            </w:r>
          </w:p>
        </w:tc>
        <w:tc>
          <w:tcPr>
            <w:tcW w:w="865" w:type="dxa"/>
            <w:vAlign w:val="center"/>
          </w:tcPr>
          <w:p>
            <w:pPr>
              <w:rPr>
                <w:rFonts w:ascii="宋体" w:hAnsi="宋体"/>
              </w:rPr>
            </w:pPr>
            <w:r>
              <w:rPr>
                <w:rFonts w:hint="eastAsia" w:ascii="宋体" w:hAnsi="宋体"/>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50" w:type="dxa"/>
            <w:vAlign w:val="center"/>
          </w:tcPr>
          <w:p>
            <w:pPr>
              <w:rPr>
                <w:rFonts w:ascii="宋体" w:hAnsi="宋体"/>
              </w:rPr>
            </w:pPr>
            <w:r>
              <w:rPr>
                <w:rFonts w:hint="eastAsia" w:ascii="宋体" w:hAnsi="宋体"/>
              </w:rPr>
              <w:t>一</w:t>
            </w:r>
          </w:p>
        </w:tc>
        <w:tc>
          <w:tcPr>
            <w:tcW w:w="1159" w:type="dxa"/>
            <w:vAlign w:val="center"/>
          </w:tcPr>
          <w:p>
            <w:pPr>
              <w:rPr>
                <w:rFonts w:ascii="宋体" w:hAnsi="宋体"/>
              </w:rPr>
            </w:pPr>
            <w:r>
              <w:rPr>
                <w:rFonts w:hint="eastAsia" w:ascii="宋体" w:hAnsi="宋体"/>
              </w:rPr>
              <w:t>报价</w:t>
            </w:r>
          </w:p>
          <w:p>
            <w:pPr>
              <w:rPr>
                <w:rFonts w:ascii="宋体" w:hAnsi="宋体"/>
              </w:rPr>
            </w:pPr>
            <w:r>
              <w:rPr>
                <w:rFonts w:ascii="宋体" w:hAnsi="宋体"/>
              </w:rPr>
              <w:t>2</w:t>
            </w:r>
            <w:r>
              <w:rPr>
                <w:rFonts w:hint="eastAsia" w:ascii="宋体" w:hAnsi="宋体"/>
              </w:rPr>
              <w:t>0%</w:t>
            </w:r>
          </w:p>
        </w:tc>
        <w:tc>
          <w:tcPr>
            <w:tcW w:w="1014" w:type="dxa"/>
            <w:vAlign w:val="center"/>
          </w:tcPr>
          <w:p>
            <w:pPr>
              <w:rPr>
                <w:rFonts w:ascii="宋体" w:hAnsi="宋体"/>
              </w:rPr>
            </w:pPr>
            <w:r>
              <w:rPr>
                <w:rFonts w:ascii="宋体" w:hAnsi="宋体"/>
              </w:rPr>
              <w:t>20</w:t>
            </w:r>
            <w:r>
              <w:rPr>
                <w:rFonts w:hint="eastAsia" w:ascii="宋体" w:hAnsi="宋体"/>
              </w:rPr>
              <w:t>分</w:t>
            </w:r>
          </w:p>
        </w:tc>
        <w:tc>
          <w:tcPr>
            <w:tcW w:w="5870" w:type="dxa"/>
            <w:vAlign w:val="center"/>
          </w:tcPr>
          <w:p>
            <w:pPr>
              <w:rPr>
                <w:rFonts w:ascii="宋体" w:hAnsi="宋体"/>
              </w:rPr>
            </w:pPr>
            <w:r>
              <w:rPr>
                <w:rFonts w:hint="eastAsia" w:ascii="宋体" w:hAnsi="宋体"/>
              </w:rPr>
              <w:t>以本次有效投标价</w:t>
            </w:r>
            <w:r>
              <w:rPr>
                <w:rFonts w:hint="eastAsia" w:ascii="宋体" w:hAnsi="宋体"/>
                <w:highlight w:val="yellow"/>
              </w:rPr>
              <w:t>平均价为</w:t>
            </w:r>
            <w:r>
              <w:rPr>
                <w:rFonts w:hint="eastAsia" w:ascii="宋体" w:hAnsi="宋体"/>
              </w:rPr>
              <w:t>基准价，报价得分=(评标基准价／投标报价)×</w:t>
            </w:r>
            <w:r>
              <w:rPr>
                <w:rFonts w:ascii="宋体" w:hAnsi="宋体"/>
              </w:rPr>
              <w:t>2</w:t>
            </w:r>
            <w:r>
              <w:rPr>
                <w:rFonts w:hint="eastAsia" w:ascii="宋体" w:hAnsi="宋体"/>
              </w:rPr>
              <w:t>0%×100（低于基准价为满分）；</w:t>
            </w:r>
          </w:p>
          <w:p>
            <w:pPr>
              <w:rPr>
                <w:rFonts w:ascii="宋体" w:hAnsi="宋体"/>
              </w:rPr>
            </w:pPr>
            <w:r>
              <w:rPr>
                <w:rFonts w:hint="eastAsia" w:ascii="宋体" w:hAnsi="宋体"/>
              </w:rPr>
              <w:t>注：评标过程中，不得去掉报价中的最高报价和最低报价。</w:t>
            </w:r>
          </w:p>
        </w:tc>
        <w:tc>
          <w:tcPr>
            <w:tcW w:w="865" w:type="dxa"/>
            <w:vAlign w:val="center"/>
          </w:tcPr>
          <w:p>
            <w:pPr>
              <w:rPr>
                <w:rFonts w:ascii="宋体" w:hAnsi="宋体"/>
              </w:rPr>
            </w:pPr>
            <w:r>
              <w:rPr>
                <w:rFonts w:hint="eastAsia" w:ascii="宋体" w:hAnsi="宋体"/>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750" w:type="dxa"/>
            <w:vAlign w:val="center"/>
          </w:tcPr>
          <w:p>
            <w:pPr>
              <w:rPr>
                <w:rFonts w:ascii="宋体" w:hAnsi="宋体"/>
              </w:rPr>
            </w:pPr>
            <w:r>
              <w:rPr>
                <w:rFonts w:hint="eastAsia" w:ascii="宋体" w:hAnsi="宋体"/>
              </w:rPr>
              <w:t>二</w:t>
            </w:r>
          </w:p>
        </w:tc>
        <w:tc>
          <w:tcPr>
            <w:tcW w:w="1159" w:type="dxa"/>
            <w:vAlign w:val="center"/>
          </w:tcPr>
          <w:p>
            <w:pPr>
              <w:rPr>
                <w:rFonts w:ascii="宋体" w:hAnsi="宋体"/>
              </w:rPr>
            </w:pPr>
            <w:r>
              <w:rPr>
                <w:rFonts w:hint="eastAsia" w:ascii="宋体" w:hAnsi="宋体"/>
              </w:rPr>
              <w:t>技术参数要求响应情况</w:t>
            </w:r>
          </w:p>
          <w:p>
            <w:pPr>
              <w:rPr>
                <w:rFonts w:ascii="宋体" w:hAnsi="宋体"/>
              </w:rPr>
            </w:pPr>
            <w:r>
              <w:rPr>
                <w:rFonts w:ascii="宋体" w:hAnsi="宋体"/>
              </w:rPr>
              <w:t>40</w:t>
            </w:r>
            <w:r>
              <w:rPr>
                <w:rFonts w:hint="eastAsia" w:ascii="宋体" w:hAnsi="宋体"/>
              </w:rPr>
              <w:t>%</w:t>
            </w:r>
          </w:p>
        </w:tc>
        <w:tc>
          <w:tcPr>
            <w:tcW w:w="1014" w:type="dxa"/>
            <w:vAlign w:val="center"/>
          </w:tcPr>
          <w:p>
            <w:pPr>
              <w:rPr>
                <w:rFonts w:ascii="宋体" w:hAnsi="宋体"/>
              </w:rPr>
            </w:pPr>
            <w:r>
              <w:rPr>
                <w:rFonts w:ascii="宋体" w:hAnsi="宋体"/>
              </w:rPr>
              <w:t>40</w:t>
            </w:r>
            <w:r>
              <w:rPr>
                <w:rFonts w:hint="eastAsia" w:ascii="宋体" w:hAnsi="宋体"/>
              </w:rPr>
              <w:t>分</w:t>
            </w:r>
          </w:p>
        </w:tc>
        <w:tc>
          <w:tcPr>
            <w:tcW w:w="5870" w:type="dxa"/>
            <w:vAlign w:val="center"/>
          </w:tcPr>
          <w:p>
            <w:pPr>
              <w:rPr>
                <w:rFonts w:ascii="宋体" w:hAnsi="宋体"/>
              </w:rPr>
            </w:pPr>
            <w:r>
              <w:rPr>
                <w:rFonts w:hint="eastAsia" w:ascii="宋体" w:hAnsi="宋体"/>
              </w:rPr>
              <w:t>完全满足比选文件第四章“技术参数要求”，没有负偏离的得4</w:t>
            </w:r>
            <w:r>
              <w:rPr>
                <w:rFonts w:ascii="宋体" w:hAnsi="宋体"/>
              </w:rPr>
              <w:t>0</w:t>
            </w:r>
            <w:r>
              <w:rPr>
                <w:rFonts w:hint="eastAsia" w:ascii="宋体" w:hAnsi="宋体"/>
              </w:rPr>
              <w:t>分；每有一项带“▲”号条款有负偏离的扣</w:t>
            </w:r>
            <w:r>
              <w:rPr>
                <w:rFonts w:ascii="宋体" w:hAnsi="宋体"/>
              </w:rPr>
              <w:t>2</w:t>
            </w:r>
            <w:r>
              <w:rPr>
                <w:rFonts w:hint="eastAsia" w:ascii="宋体" w:hAnsi="宋体"/>
              </w:rPr>
              <w:t>分，最多扣</w:t>
            </w:r>
            <w:r>
              <w:rPr>
                <w:rFonts w:ascii="宋体" w:hAnsi="宋体"/>
              </w:rPr>
              <w:t>3</w:t>
            </w:r>
            <w:r>
              <w:rPr>
                <w:rFonts w:hint="eastAsia" w:ascii="宋体" w:hAnsi="宋体"/>
              </w:rPr>
              <w:t>0分；每有一项带“★”号条款有负偏离的扣1分，最多扣10分。</w:t>
            </w:r>
          </w:p>
          <w:p>
            <w:pPr>
              <w:rPr>
                <w:rFonts w:ascii="宋体" w:hAnsi="宋体"/>
              </w:rPr>
            </w:pPr>
            <w:r>
              <w:rPr>
                <w:rFonts w:hint="eastAsia" w:ascii="宋体" w:hAnsi="宋体"/>
              </w:rPr>
              <w:t>注：带“▲”、“★”的参数应提供厂家彩页或产品白皮书或检测报告或重要功能截图等佐证材料，如无佐证材料的，不予认定。虚假响应将做无效标处理。</w:t>
            </w:r>
          </w:p>
        </w:tc>
        <w:tc>
          <w:tcPr>
            <w:tcW w:w="865" w:type="dxa"/>
            <w:vAlign w:val="center"/>
          </w:tcPr>
          <w:p>
            <w:pPr>
              <w:rPr>
                <w:rFonts w:ascii="宋体" w:hAnsi="宋体"/>
              </w:rPr>
            </w:pPr>
            <w:r>
              <w:rPr>
                <w:rFonts w:hint="eastAsia" w:ascii="宋体" w:hAnsi="宋体"/>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50" w:type="dxa"/>
            <w:vAlign w:val="center"/>
          </w:tcPr>
          <w:p>
            <w:pPr>
              <w:rPr>
                <w:rFonts w:ascii="宋体" w:hAnsi="宋体"/>
              </w:rPr>
            </w:pPr>
            <w:r>
              <w:rPr>
                <w:rFonts w:hint="eastAsia" w:ascii="宋体" w:hAnsi="宋体"/>
              </w:rPr>
              <w:t>三</w:t>
            </w:r>
          </w:p>
        </w:tc>
        <w:tc>
          <w:tcPr>
            <w:tcW w:w="1159" w:type="dxa"/>
            <w:vAlign w:val="center"/>
          </w:tcPr>
          <w:p>
            <w:pPr>
              <w:rPr>
                <w:rFonts w:ascii="宋体" w:hAnsi="宋体"/>
              </w:rPr>
            </w:pPr>
            <w:r>
              <w:rPr>
                <w:rFonts w:hint="eastAsia" w:ascii="宋体" w:hAnsi="宋体"/>
              </w:rPr>
              <w:t>供货方案</w:t>
            </w:r>
            <w:r>
              <w:rPr>
                <w:rFonts w:ascii="宋体" w:hAnsi="宋体"/>
              </w:rPr>
              <w:t>32</w:t>
            </w:r>
            <w:r>
              <w:rPr>
                <w:rFonts w:hint="eastAsia" w:ascii="宋体" w:hAnsi="宋体"/>
              </w:rPr>
              <w:t>%</w:t>
            </w:r>
          </w:p>
        </w:tc>
        <w:tc>
          <w:tcPr>
            <w:tcW w:w="1014" w:type="dxa"/>
            <w:vAlign w:val="center"/>
          </w:tcPr>
          <w:p>
            <w:pPr>
              <w:rPr>
                <w:rFonts w:ascii="宋体" w:hAnsi="宋体"/>
              </w:rPr>
            </w:pPr>
            <w:r>
              <w:rPr>
                <w:rFonts w:ascii="宋体" w:hAnsi="宋体"/>
              </w:rPr>
              <w:t>32</w:t>
            </w:r>
            <w:r>
              <w:rPr>
                <w:rFonts w:hint="eastAsia" w:ascii="宋体" w:hAnsi="宋体"/>
              </w:rPr>
              <w:t>分</w:t>
            </w:r>
          </w:p>
        </w:tc>
        <w:tc>
          <w:tcPr>
            <w:tcW w:w="5870" w:type="dxa"/>
            <w:vAlign w:val="center"/>
          </w:tcPr>
          <w:p>
            <w:pPr>
              <w:rPr>
                <w:rFonts w:ascii="宋体" w:hAnsi="宋体"/>
              </w:rPr>
            </w:pPr>
            <w:r>
              <w:rPr>
                <w:rFonts w:hint="eastAsia" w:ascii="宋体" w:hAnsi="宋体"/>
              </w:rPr>
              <w:t>比选申请人自行根据本项目特点拟定适用可行的供货方案，内容包含：①配送安装及培训方案、②安全保障措施(包含但不限于人员安全管理、安全事故预案)、③进度保障措施、④质量保障措施(包含但不限于质量管理制度和流程、质量问题跟踪、质量反馈)等4个方面。经评定以上4个方面内容详细、完善，各类措施运用得当，符合本项目实施特点，完全满足项目需求的得1</w:t>
            </w:r>
            <w:r>
              <w:rPr>
                <w:rFonts w:ascii="宋体" w:hAnsi="宋体"/>
              </w:rPr>
              <w:t>2</w:t>
            </w:r>
            <w:r>
              <w:rPr>
                <w:rFonts w:hint="eastAsia" w:ascii="宋体" w:hAnsi="宋体"/>
              </w:rPr>
              <w:t>分；每缺少一方面内容扣</w:t>
            </w:r>
            <w:r>
              <w:rPr>
                <w:rFonts w:ascii="宋体" w:hAnsi="宋体"/>
              </w:rPr>
              <w:t>3</w:t>
            </w:r>
            <w:r>
              <w:rPr>
                <w:rFonts w:hint="eastAsia" w:ascii="宋体" w:hAnsi="宋体"/>
              </w:rPr>
              <w:t>分，每有一处内容存在不足(例如：相关内容不详细或不完善，货物样式、特性等与项目需求存在偏差，分工职责不明确，相关措施有缺陷，存在前后矛盾的内容，相关内容与实际不符或不匹配等类似缺陷或瑕疵)的扣</w:t>
            </w:r>
            <w:r>
              <w:rPr>
                <w:rFonts w:ascii="宋体" w:hAnsi="宋体"/>
              </w:rPr>
              <w:t>1</w:t>
            </w:r>
            <w:r>
              <w:rPr>
                <w:rFonts w:hint="eastAsia" w:ascii="宋体" w:hAnsi="宋体"/>
              </w:rPr>
              <w:t>分，扣完为止。</w:t>
            </w:r>
          </w:p>
          <w:p>
            <w:pPr>
              <w:rPr>
                <w:rFonts w:ascii="宋体" w:hAnsi="宋体"/>
              </w:rPr>
            </w:pPr>
            <w:r>
              <w:rPr>
                <w:rFonts w:hint="eastAsia" w:ascii="宋体" w:hAnsi="宋体"/>
              </w:rPr>
              <w:t>注：以评审专家结合项目实际情况和响应文件独立评审为准。</w:t>
            </w:r>
          </w:p>
        </w:tc>
        <w:tc>
          <w:tcPr>
            <w:tcW w:w="865" w:type="dxa"/>
            <w:vAlign w:val="center"/>
          </w:tcPr>
          <w:p>
            <w:pPr>
              <w:rPr>
                <w:rFonts w:ascii="宋体" w:hAnsi="宋体"/>
              </w:rPr>
            </w:pPr>
            <w:r>
              <w:rPr>
                <w:rFonts w:hint="eastAsia" w:ascii="宋体" w:hAnsi="宋体"/>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50" w:type="dxa"/>
            <w:vAlign w:val="center"/>
          </w:tcPr>
          <w:p>
            <w:pPr>
              <w:rPr>
                <w:rFonts w:ascii="宋体" w:hAnsi="宋体"/>
              </w:rPr>
            </w:pPr>
            <w:r>
              <w:rPr>
                <w:rFonts w:hint="eastAsia" w:ascii="宋体" w:hAnsi="宋体"/>
              </w:rPr>
              <w:t>四</w:t>
            </w:r>
          </w:p>
        </w:tc>
        <w:tc>
          <w:tcPr>
            <w:tcW w:w="1159" w:type="dxa"/>
            <w:vAlign w:val="center"/>
          </w:tcPr>
          <w:p>
            <w:pPr>
              <w:rPr>
                <w:rFonts w:ascii="宋体" w:hAnsi="宋体"/>
              </w:rPr>
            </w:pPr>
            <w:r>
              <w:rPr>
                <w:rFonts w:hint="eastAsia" w:ascii="宋体" w:hAnsi="宋体"/>
              </w:rPr>
              <w:t>售后服务方案</w:t>
            </w:r>
            <w:r>
              <w:rPr>
                <w:rFonts w:ascii="宋体" w:hAnsi="宋体"/>
              </w:rPr>
              <w:t>6%</w:t>
            </w:r>
          </w:p>
        </w:tc>
        <w:tc>
          <w:tcPr>
            <w:tcW w:w="1014" w:type="dxa"/>
            <w:vAlign w:val="center"/>
          </w:tcPr>
          <w:p>
            <w:pPr>
              <w:rPr>
                <w:rFonts w:ascii="宋体" w:hAnsi="宋体"/>
                <w:highlight w:val="yellow"/>
              </w:rPr>
            </w:pPr>
            <w:r>
              <w:rPr>
                <w:rFonts w:ascii="宋体" w:hAnsi="宋体"/>
              </w:rPr>
              <w:t>6</w:t>
            </w:r>
            <w:r>
              <w:rPr>
                <w:rFonts w:hint="eastAsia" w:ascii="宋体" w:hAnsi="宋体"/>
              </w:rPr>
              <w:t>分</w:t>
            </w:r>
          </w:p>
        </w:tc>
        <w:tc>
          <w:tcPr>
            <w:tcW w:w="5870" w:type="dxa"/>
            <w:vAlign w:val="center"/>
          </w:tcPr>
          <w:p>
            <w:pPr>
              <w:rPr>
                <w:rFonts w:ascii="宋体" w:hAnsi="宋体"/>
              </w:rPr>
            </w:pPr>
            <w:r>
              <w:rPr>
                <w:rFonts w:hint="eastAsia" w:ascii="宋体" w:hAnsi="宋体"/>
              </w:rPr>
              <w:t>比选申请人自行根据本项目特点拟定适用可行的售后服务方案，内容包含：①售后技术支持措施及售后承诺、②故障处理方案、③售后服务流程及售后服务人员配置、④定期回访及维护等4个方面。经评定以上4个方面内容详细、完善，各类措施运用得当，符合本项目实施特点，完全满足项目需求的得6分；每缺少一方面内容扣1</w:t>
            </w:r>
            <w:r>
              <w:rPr>
                <w:rFonts w:ascii="宋体" w:hAnsi="宋体"/>
              </w:rPr>
              <w:t>.5分，每有一处内容存在不足(例如：相关内容不详细或不完善，</w:t>
            </w:r>
            <w:r>
              <w:rPr>
                <w:rFonts w:hint="eastAsia" w:ascii="宋体" w:hAnsi="宋体"/>
              </w:rPr>
              <w:t>售后流程繁琐或相关技术措施与项目实际不匹配</w:t>
            </w:r>
            <w:r>
              <w:rPr>
                <w:rFonts w:ascii="宋体" w:hAnsi="宋体"/>
              </w:rPr>
              <w:t>，</w:t>
            </w:r>
            <w:r>
              <w:rPr>
                <w:rFonts w:hint="eastAsia" w:ascii="宋体" w:hAnsi="宋体"/>
              </w:rPr>
              <w:t>售后</w:t>
            </w:r>
            <w:r>
              <w:rPr>
                <w:rFonts w:ascii="宋体" w:hAnsi="宋体"/>
              </w:rPr>
              <w:t>分工职责不明确，存在前后矛盾的内容，相关内容与实际不符或不匹配等类似缺陷或瑕疵)的扣</w:t>
            </w:r>
            <w:r>
              <w:rPr>
                <w:rFonts w:hint="eastAsia" w:ascii="宋体" w:hAnsi="宋体"/>
              </w:rPr>
              <w:t>0</w:t>
            </w:r>
            <w:r>
              <w:rPr>
                <w:rFonts w:ascii="宋体" w:hAnsi="宋体"/>
              </w:rPr>
              <w:t>.5分，扣完为止。</w:t>
            </w:r>
          </w:p>
          <w:p>
            <w:pPr>
              <w:rPr>
                <w:rFonts w:ascii="宋体" w:hAnsi="宋体"/>
              </w:rPr>
            </w:pPr>
            <w:r>
              <w:rPr>
                <w:rFonts w:hint="eastAsia" w:ascii="宋体" w:hAnsi="宋体"/>
              </w:rPr>
              <w:t>注：以评审专家结合项目实际情况和响应文件独立评审为准。</w:t>
            </w:r>
          </w:p>
        </w:tc>
        <w:tc>
          <w:tcPr>
            <w:tcW w:w="865" w:type="dxa"/>
            <w:vAlign w:val="center"/>
          </w:tcPr>
          <w:p>
            <w:pPr>
              <w:rPr>
                <w:rFonts w:ascii="宋体" w:hAnsi="宋体"/>
              </w:rPr>
            </w:pPr>
            <w:r>
              <w:rPr>
                <w:rFonts w:hint="eastAsia" w:ascii="宋体" w:hAnsi="宋体"/>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50" w:type="dxa"/>
            <w:vAlign w:val="center"/>
          </w:tcPr>
          <w:p>
            <w:pPr>
              <w:rPr>
                <w:rFonts w:ascii="宋体" w:hAnsi="宋体"/>
              </w:rPr>
            </w:pPr>
            <w:r>
              <w:rPr>
                <w:rFonts w:hint="eastAsia" w:ascii="宋体" w:hAnsi="宋体"/>
              </w:rPr>
              <w:t>五</w:t>
            </w:r>
          </w:p>
        </w:tc>
        <w:tc>
          <w:tcPr>
            <w:tcW w:w="1159" w:type="dxa"/>
            <w:vAlign w:val="center"/>
          </w:tcPr>
          <w:p>
            <w:pPr>
              <w:rPr>
                <w:rFonts w:ascii="宋体" w:hAnsi="宋体"/>
              </w:rPr>
            </w:pPr>
            <w:r>
              <w:rPr>
                <w:rFonts w:hint="eastAsia" w:ascii="宋体" w:hAnsi="宋体"/>
              </w:rPr>
              <w:t>企业信誉</w:t>
            </w:r>
            <w:r>
              <w:rPr>
                <w:rFonts w:ascii="宋体" w:hAnsi="宋体"/>
              </w:rPr>
              <w:t>2%</w:t>
            </w:r>
          </w:p>
        </w:tc>
        <w:tc>
          <w:tcPr>
            <w:tcW w:w="1014" w:type="dxa"/>
            <w:vAlign w:val="center"/>
          </w:tcPr>
          <w:p>
            <w:pPr>
              <w:rPr>
                <w:rFonts w:ascii="宋体" w:hAnsi="宋体"/>
              </w:rPr>
            </w:pPr>
            <w:r>
              <w:rPr>
                <w:rFonts w:ascii="宋体" w:hAnsi="宋体"/>
              </w:rPr>
              <w:t>2</w:t>
            </w:r>
            <w:r>
              <w:rPr>
                <w:rFonts w:hint="eastAsia" w:ascii="宋体" w:hAnsi="宋体"/>
              </w:rPr>
              <w:t>分</w:t>
            </w:r>
          </w:p>
        </w:tc>
        <w:tc>
          <w:tcPr>
            <w:tcW w:w="5870" w:type="dxa"/>
            <w:vAlign w:val="center"/>
          </w:tcPr>
          <w:p>
            <w:pPr>
              <w:rPr>
                <w:rFonts w:ascii="宋体" w:hAnsi="宋体"/>
              </w:rPr>
            </w:pPr>
            <w:r>
              <w:rPr>
                <w:rFonts w:hint="eastAsia" w:ascii="宋体" w:hAnsi="宋体"/>
              </w:rPr>
              <w:t>比选申请人每有一个类似项目履约经验的得1分。</w:t>
            </w:r>
          </w:p>
          <w:p>
            <w:pPr>
              <w:rPr>
                <w:rFonts w:ascii="宋体" w:hAnsi="宋体"/>
              </w:rPr>
            </w:pPr>
            <w:r>
              <w:rPr>
                <w:rFonts w:hint="eastAsia" w:ascii="宋体" w:hAnsi="宋体"/>
              </w:rPr>
              <w:t>注：①提供</w:t>
            </w:r>
            <w:r>
              <w:rPr>
                <w:rFonts w:ascii="宋体" w:hAnsi="宋体"/>
              </w:rPr>
              <w:t>合同/协议复印件，否则不得分。</w:t>
            </w:r>
          </w:p>
          <w:p>
            <w:pPr>
              <w:rPr>
                <w:rFonts w:ascii="宋体" w:hAnsi="宋体"/>
              </w:rPr>
            </w:pPr>
            <w:r>
              <w:rPr>
                <w:rFonts w:hint="eastAsia" w:ascii="宋体" w:hAnsi="宋体"/>
              </w:rPr>
              <w:t>②类似项目是指与本项目具体执行工作内容有关的项目。</w:t>
            </w:r>
          </w:p>
          <w:p>
            <w:pPr>
              <w:rPr>
                <w:rFonts w:ascii="宋体" w:hAnsi="宋体"/>
              </w:rPr>
            </w:pPr>
            <w:r>
              <w:rPr>
                <w:rFonts w:ascii="宋体" w:hAnsi="宋体"/>
              </w:rPr>
              <w:t>比选申请人</w:t>
            </w:r>
            <w:r>
              <w:rPr>
                <w:rFonts w:hint="eastAsia" w:ascii="宋体" w:hAnsi="宋体"/>
              </w:rPr>
              <w:t>具有质量管理体系认证证书、环境管理体系认证证书的，每提供</w:t>
            </w:r>
            <w:r>
              <w:rPr>
                <w:rFonts w:ascii="宋体" w:hAnsi="宋体"/>
              </w:rPr>
              <w:t>1个得0.5分，此项最多得1分。</w:t>
            </w:r>
          </w:p>
          <w:p>
            <w:pPr>
              <w:rPr>
                <w:rFonts w:ascii="宋体" w:hAnsi="宋体"/>
              </w:rPr>
            </w:pPr>
            <w:r>
              <w:rPr>
                <w:rFonts w:hint="eastAsia" w:ascii="宋体" w:hAnsi="宋体"/>
              </w:rPr>
              <w:t>注：提供相关认证证书复印件，否则不得分。</w:t>
            </w:r>
          </w:p>
        </w:tc>
        <w:tc>
          <w:tcPr>
            <w:tcW w:w="865" w:type="dxa"/>
            <w:vAlign w:val="center"/>
          </w:tcPr>
          <w:p>
            <w:pPr>
              <w:rPr>
                <w:rFonts w:ascii="宋体" w:hAnsi="宋体"/>
              </w:rPr>
            </w:pPr>
            <w:r>
              <w:rPr>
                <w:rFonts w:hint="eastAsia" w:ascii="宋体" w:hAnsi="宋体"/>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58" w:type="dxa"/>
            <w:gridSpan w:val="5"/>
            <w:vAlign w:val="center"/>
          </w:tcPr>
          <w:p>
            <w:pPr>
              <w:rPr>
                <w:rFonts w:ascii="宋体" w:hAnsi="宋体"/>
              </w:rPr>
            </w:pPr>
            <w:r>
              <w:rPr>
                <w:rFonts w:hint="eastAsia" w:ascii="宋体" w:hAnsi="宋体"/>
              </w:rPr>
              <w:t>注：</w:t>
            </w:r>
            <w:r>
              <w:rPr>
                <w:rFonts w:hint="eastAsia" w:ascii="宋体" w:hAnsi="宋体"/>
              </w:rPr>
              <w:fldChar w:fldCharType="begin"/>
            </w:r>
            <w:r>
              <w:rPr>
                <w:rFonts w:hint="eastAsia" w:ascii="宋体" w:hAnsi="宋体"/>
              </w:rPr>
              <w:instrText xml:space="preserve"> = 1 \* GB3 \* MERGEFORMAT </w:instrText>
            </w:r>
            <w:r>
              <w:rPr>
                <w:rFonts w:hint="eastAsia" w:ascii="宋体" w:hAnsi="宋体"/>
              </w:rPr>
              <w:fldChar w:fldCharType="separate"/>
            </w:r>
            <w:r>
              <w:rPr>
                <w:rFonts w:hint="eastAsia" w:ascii="宋体" w:hAnsi="宋体"/>
              </w:rPr>
              <w:t>①</w:t>
            </w:r>
            <w:r>
              <w:rPr>
                <w:rFonts w:hint="eastAsia" w:ascii="宋体" w:hAnsi="宋体"/>
              </w:rPr>
              <w:fldChar w:fldCharType="end"/>
            </w:r>
            <w:r>
              <w:rPr>
                <w:rFonts w:hint="eastAsia" w:ascii="宋体" w:hAnsi="宋体"/>
              </w:rPr>
              <w:t>评分的取值按四舍五入法，小数点后保留两位。</w:t>
            </w:r>
            <w:r>
              <w:rPr>
                <w:rFonts w:hint="eastAsia" w:ascii="宋体" w:hAnsi="宋体"/>
              </w:rPr>
              <w:fldChar w:fldCharType="begin"/>
            </w:r>
            <w:r>
              <w:rPr>
                <w:rFonts w:hint="eastAsia" w:ascii="宋体" w:hAnsi="宋体"/>
              </w:rPr>
              <w:instrText xml:space="preserve"> = 2 \* GB3 \* MERGEFORMAT </w:instrText>
            </w:r>
            <w:r>
              <w:rPr>
                <w:rFonts w:hint="eastAsia" w:ascii="宋体" w:hAnsi="宋体"/>
              </w:rPr>
              <w:fldChar w:fldCharType="separate"/>
            </w:r>
            <w:r>
              <w:rPr>
                <w:rFonts w:hint="eastAsia" w:ascii="宋体" w:hAnsi="宋体"/>
              </w:rPr>
              <w:t>②</w:t>
            </w:r>
            <w:r>
              <w:rPr>
                <w:rFonts w:hint="eastAsia" w:ascii="宋体" w:hAnsi="宋体"/>
              </w:rPr>
              <w:fldChar w:fldCharType="end"/>
            </w:r>
            <w:r>
              <w:rPr>
                <w:rFonts w:hint="eastAsia" w:ascii="宋体" w:hAnsi="宋体"/>
              </w:rPr>
              <w:t>本表中要求提供各类证明材料应清晰可辨，均需加盖供应商公章，否则将不认可该项材料的有效性。</w:t>
            </w:r>
          </w:p>
        </w:tc>
      </w:tr>
    </w:tbl>
    <w:p>
      <w:pPr>
        <w:pStyle w:val="5"/>
      </w:pPr>
      <w:bookmarkStart w:id="310" w:name="_Toc112257090"/>
      <w:r>
        <w:rPr>
          <w:rFonts w:hint="eastAsia"/>
        </w:rPr>
        <w:t>四、评选程序</w:t>
      </w:r>
      <w:bookmarkEnd w:id="310"/>
    </w:p>
    <w:p>
      <w:pPr>
        <w:adjustRightInd w:val="0"/>
        <w:snapToGrid w:val="0"/>
        <w:spacing w:line="360" w:lineRule="auto"/>
        <w:ind w:firstLine="420" w:firstLineChars="200"/>
        <w:rPr>
          <w:rFonts w:ascii="宋体" w:hAnsi="宋体"/>
          <w:szCs w:val="21"/>
        </w:rPr>
      </w:pPr>
      <w:r>
        <w:rPr>
          <w:rFonts w:hint="eastAsia" w:ascii="宋体" w:hAnsi="宋体"/>
          <w:szCs w:val="21"/>
        </w:rPr>
        <w:t>只有通过上一环节评选的，才能进入下一环节评选。</w:t>
      </w:r>
    </w:p>
    <w:p>
      <w:pPr>
        <w:adjustRightInd w:val="0"/>
        <w:snapToGrid w:val="0"/>
        <w:spacing w:line="360" w:lineRule="auto"/>
        <w:ind w:left="241" w:firstLine="422" w:firstLineChars="200"/>
        <w:rPr>
          <w:rStyle w:val="60"/>
          <w:rFonts w:ascii="宋体" w:hAnsi="宋体" w:eastAsia="宋体" w:cs="宋体"/>
          <w:sz w:val="21"/>
          <w:szCs w:val="21"/>
        </w:rPr>
      </w:pPr>
      <w:r>
        <w:rPr>
          <w:rStyle w:val="60"/>
          <w:rFonts w:hint="eastAsia" w:ascii="宋体" w:hAnsi="宋体" w:eastAsia="宋体" w:cs="宋体"/>
          <w:sz w:val="21"/>
          <w:szCs w:val="21"/>
        </w:rPr>
        <w:t>（一）初步评选</w:t>
      </w:r>
    </w:p>
    <w:p>
      <w:pPr>
        <w:adjustRightInd w:val="0"/>
        <w:snapToGrid w:val="0"/>
        <w:spacing w:line="360" w:lineRule="auto"/>
        <w:ind w:firstLine="420" w:firstLineChars="200"/>
        <w:rPr>
          <w:rFonts w:ascii="宋体" w:hAnsi="宋体"/>
          <w:szCs w:val="21"/>
        </w:rPr>
      </w:pPr>
      <w:r>
        <w:rPr>
          <w:rFonts w:hint="eastAsia" w:ascii="宋体" w:hAnsi="宋体"/>
          <w:szCs w:val="21"/>
        </w:rPr>
        <w:t>评选委员会可以要求申请人提交规定的有关证明和证件的原件，以便核验。评选委员会依据规定的标准对申请文件进行初步评选。有一项不符合评选标准的，作废标处理。</w:t>
      </w:r>
    </w:p>
    <w:p>
      <w:pPr>
        <w:adjustRightInd w:val="0"/>
        <w:snapToGrid w:val="0"/>
        <w:spacing w:line="360" w:lineRule="auto"/>
        <w:ind w:firstLine="420" w:firstLineChars="200"/>
        <w:rPr>
          <w:rFonts w:ascii="宋体" w:hAnsi="宋体"/>
          <w:szCs w:val="21"/>
        </w:rPr>
      </w:pPr>
      <w:r>
        <w:rPr>
          <w:rFonts w:hint="eastAsia" w:ascii="宋体" w:hAnsi="宋体"/>
          <w:szCs w:val="21"/>
        </w:rPr>
        <w:t xml:space="preserve">申请人有以下情形之一的，其申请文件作废标处理: </w:t>
      </w:r>
    </w:p>
    <w:p>
      <w:pPr>
        <w:adjustRightInd w:val="0"/>
        <w:snapToGrid w:val="0"/>
        <w:spacing w:line="360" w:lineRule="auto"/>
        <w:ind w:firstLine="420" w:firstLineChars="200"/>
        <w:rPr>
          <w:rFonts w:ascii="宋体" w:hAnsi="宋体"/>
          <w:szCs w:val="21"/>
        </w:rPr>
      </w:pPr>
      <w:r>
        <w:rPr>
          <w:rFonts w:hint="eastAsia" w:ascii="宋体" w:hAnsi="宋体"/>
          <w:szCs w:val="21"/>
        </w:rPr>
        <w:t>1）不符合比选申请人须知规定的实质性要求；</w:t>
      </w:r>
    </w:p>
    <w:p>
      <w:pPr>
        <w:adjustRightInd w:val="0"/>
        <w:snapToGrid w:val="0"/>
        <w:spacing w:line="360" w:lineRule="auto"/>
        <w:ind w:firstLine="420" w:firstLineChars="200"/>
        <w:rPr>
          <w:rFonts w:ascii="宋体" w:hAnsi="宋体"/>
          <w:szCs w:val="21"/>
        </w:rPr>
      </w:pPr>
      <w:r>
        <w:rPr>
          <w:rFonts w:hint="eastAsia" w:ascii="宋体" w:hAnsi="宋体"/>
          <w:szCs w:val="21"/>
        </w:rPr>
        <w:t>2）以他人名义参选、串通参选、弄虚作假或有其他违法行为的；</w:t>
      </w:r>
    </w:p>
    <w:p>
      <w:pPr>
        <w:adjustRightInd w:val="0"/>
        <w:snapToGrid w:val="0"/>
        <w:spacing w:line="360" w:lineRule="auto"/>
        <w:ind w:firstLine="420" w:firstLineChars="200"/>
        <w:rPr>
          <w:rFonts w:ascii="宋体" w:hAnsi="宋体"/>
          <w:szCs w:val="21"/>
        </w:rPr>
      </w:pPr>
      <w:r>
        <w:rPr>
          <w:rFonts w:hint="eastAsia" w:ascii="宋体" w:hAnsi="宋体"/>
          <w:szCs w:val="21"/>
        </w:rPr>
        <w:t>3）附有采购方不能接受的条件；</w:t>
      </w:r>
    </w:p>
    <w:p>
      <w:pPr>
        <w:adjustRightInd w:val="0"/>
        <w:snapToGrid w:val="0"/>
        <w:spacing w:line="360" w:lineRule="auto"/>
        <w:ind w:firstLine="420" w:firstLineChars="200"/>
        <w:rPr>
          <w:rFonts w:ascii="宋体" w:hAnsi="宋体"/>
          <w:szCs w:val="21"/>
        </w:rPr>
      </w:pPr>
      <w:r>
        <w:rPr>
          <w:rFonts w:hint="eastAsia" w:ascii="宋体" w:hAnsi="宋体"/>
          <w:szCs w:val="21"/>
        </w:rPr>
        <w:t>4）属于前附表限制参加的情形。</w:t>
      </w:r>
    </w:p>
    <w:p>
      <w:pPr>
        <w:adjustRightInd w:val="0"/>
        <w:snapToGrid w:val="0"/>
        <w:spacing w:line="360" w:lineRule="auto"/>
        <w:ind w:left="241" w:firstLine="422" w:firstLineChars="200"/>
        <w:rPr>
          <w:rStyle w:val="60"/>
          <w:rFonts w:ascii="宋体" w:hAnsi="宋体" w:eastAsia="宋体" w:cs="宋体"/>
          <w:sz w:val="21"/>
          <w:szCs w:val="21"/>
        </w:rPr>
      </w:pPr>
      <w:r>
        <w:rPr>
          <w:rStyle w:val="60"/>
          <w:rFonts w:hint="eastAsia" w:ascii="宋体" w:hAnsi="宋体" w:eastAsia="宋体" w:cs="宋体"/>
          <w:sz w:val="21"/>
          <w:szCs w:val="21"/>
        </w:rPr>
        <w:t>（二）详细评选</w:t>
      </w:r>
    </w:p>
    <w:p>
      <w:pPr>
        <w:adjustRightInd w:val="0"/>
        <w:snapToGrid w:val="0"/>
        <w:spacing w:line="360" w:lineRule="auto"/>
        <w:ind w:firstLine="420" w:firstLineChars="200"/>
        <w:rPr>
          <w:rFonts w:ascii="宋体" w:hAnsi="宋体"/>
          <w:szCs w:val="21"/>
        </w:rPr>
      </w:pPr>
      <w:r>
        <w:rPr>
          <w:rFonts w:hint="eastAsia" w:ascii="宋体" w:hAnsi="宋体"/>
          <w:szCs w:val="21"/>
        </w:rPr>
        <w:t>评选委员会按本章规定的量化因素和分值进行打分，并计算出综合评估得分。评分分值计算保留小数点后两位，小数点后第三位“四舍五入”。</w:t>
      </w:r>
    </w:p>
    <w:p>
      <w:pPr>
        <w:pStyle w:val="5"/>
      </w:pPr>
      <w:bookmarkStart w:id="311" w:name="_Toc112257091"/>
      <w:r>
        <w:rPr>
          <w:rFonts w:hint="eastAsia"/>
        </w:rPr>
        <w:t>五、评选结果</w:t>
      </w:r>
      <w:bookmarkEnd w:id="311"/>
    </w:p>
    <w:p>
      <w:pPr>
        <w:adjustRightInd w:val="0"/>
        <w:snapToGrid w:val="0"/>
        <w:spacing w:line="360" w:lineRule="auto"/>
        <w:ind w:firstLine="420" w:firstLineChars="200"/>
        <w:rPr>
          <w:rFonts w:ascii="宋体" w:hAnsi="宋体"/>
          <w:szCs w:val="21"/>
        </w:rPr>
      </w:pPr>
      <w:r>
        <w:rPr>
          <w:rFonts w:hint="eastAsia" w:ascii="宋体" w:hAnsi="宋体"/>
          <w:szCs w:val="21"/>
        </w:rPr>
        <w:t>评选委员会按照得分由高到低的顺序确定中选人。</w:t>
      </w:r>
    </w:p>
    <w:sectPr>
      <w:footerReference r:id="rId7" w:type="first"/>
      <w:headerReference r:id="rId5" w:type="default"/>
      <w:footerReference r:id="rId6" w:type="default"/>
      <w:pgSz w:w="11906" w:h="16838"/>
      <w:pgMar w:top="1440" w:right="1080" w:bottom="1440" w:left="1080"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Microsoft YaHei UI">
    <w:altName w:val="宋体"/>
    <w:panose1 w:val="020B0503020204020204"/>
    <w:charset w:val="86"/>
    <w:family w:val="swiss"/>
    <w:pitch w:val="default"/>
    <w:sig w:usb0="00000000" w:usb1="00000000"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Syntax">
    <w:altName w:val="MV Boli"/>
    <w:panose1 w:val="00000000000000000000"/>
    <w:charset w:val="00"/>
    <w:family w:val="swiss"/>
    <w:pitch w:val="default"/>
    <w:sig w:usb0="00000000" w:usb1="00000000" w:usb2="00000000" w:usb3="00000000" w:csb0="00000001" w:csb1="00000000"/>
  </w:font>
  <w:font w:name="MV Boli">
    <w:panose1 w:val="02000500030200090000"/>
    <w:charset w:val="00"/>
    <w:family w:val="auto"/>
    <w:pitch w:val="default"/>
    <w:sig w:usb0="00000003" w:usb1="00000000" w:usb2="00000100" w:usb3="00000000" w:csb0="0000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Times New (W1)">
    <w:altName w:val="Times New Roman"/>
    <w:panose1 w:val="00000000000000000000"/>
    <w:charset w:val="00"/>
    <w:family w:val="roman"/>
    <w:pitch w:val="default"/>
    <w:sig w:usb0="00000000" w:usb1="00000000" w:usb2="00000008" w:usb3="00000000" w:csb0="000001FF" w:csb1="00000000"/>
  </w:font>
  <w:font w:name="楷体à.ā">
    <w:altName w:val="黑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3175"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31"/>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Pi91E0AAAAAIBAAAPAAAAAAAAAAEAIAAAACIAAABkcnMvZG93bnJldi54bWxQSwECFAAU&#10;AAAACACHTuJAaTRVB/kBAAAABAAADgAAAAAAAAABACAAAAAfAQAAZHJzL2Uyb0RvYy54bWxQSwUG&#10;AAAAAAYABgBZAQAAigUAAAAA&#10;">
              <v:fill on="f" focussize="0,0"/>
              <v:stroke on="f"/>
              <v:imagedata o:title=""/>
              <o:lock v:ext="edit" aspectratio="f"/>
              <v:textbox inset="0mm,0mm,0mm,0mm" style="mso-fit-shape-to-text:t;">
                <w:txbxContent>
                  <w:p>
                    <w:pPr>
                      <w:pStyle w:val="31"/>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A8F43"/>
    <w:multiLevelType w:val="singleLevel"/>
    <w:tmpl w:val="82DA8F43"/>
    <w:lvl w:ilvl="0" w:tentative="0">
      <w:start w:val="1"/>
      <w:numFmt w:val="decimal"/>
      <w:suff w:val="nothing"/>
      <w:lvlText w:val="%1."/>
      <w:lvlJc w:val="left"/>
      <w:pPr>
        <w:ind w:left="0" w:firstLine="1134"/>
      </w:pPr>
      <w:rPr>
        <w:rFonts w:hint="default"/>
      </w:rPr>
    </w:lvl>
  </w:abstractNum>
  <w:abstractNum w:abstractNumId="1">
    <w:nsid w:val="B04D8E0A"/>
    <w:multiLevelType w:val="multilevel"/>
    <w:tmpl w:val="B04D8E0A"/>
    <w:lvl w:ilvl="0" w:tentative="0">
      <w:start w:val="1"/>
      <w:numFmt w:val="chineseCounting"/>
      <w:pStyle w:val="662"/>
      <w:suff w:val="nothing"/>
      <w:lvlText w:val="第%1章 "/>
      <w:lvlJc w:val="left"/>
      <w:pPr>
        <w:tabs>
          <w:tab w:val="left" w:pos="3120"/>
        </w:tabs>
        <w:ind w:left="3120" w:firstLine="0"/>
      </w:pPr>
      <w:rPr>
        <w:rFonts w:hint="eastAsia" w:ascii="宋体" w:hAnsi="宋体" w:eastAsia="宋体" w:cs="宋体"/>
        <w:sz w:val="32"/>
        <w:szCs w:val="32"/>
      </w:rPr>
    </w:lvl>
    <w:lvl w:ilvl="1" w:tentative="0">
      <w:start w:val="1"/>
      <w:numFmt w:val="chineseCounting"/>
      <w:pStyle w:val="661"/>
      <w:suff w:val="nothing"/>
      <w:lvlText w:val="%2、"/>
      <w:lvlJc w:val="left"/>
      <w:pPr>
        <w:ind w:left="852" w:firstLine="0"/>
      </w:pPr>
      <w:rPr>
        <w:rFonts w:hint="eastAsia" w:ascii="宋体" w:hAnsi="宋体" w:eastAsia="宋体" w:cs="宋体"/>
      </w:rPr>
    </w:lvl>
    <w:lvl w:ilvl="2" w:tentative="0">
      <w:start w:val="1"/>
      <w:numFmt w:val="chineseCounting"/>
      <w:pStyle w:val="664"/>
      <w:suff w:val="nothing"/>
      <w:lvlText w:val="(%3)"/>
      <w:lvlJc w:val="left"/>
      <w:pPr>
        <w:tabs>
          <w:tab w:val="left" w:pos="0"/>
        </w:tabs>
        <w:ind w:left="0" w:firstLine="0"/>
      </w:pPr>
      <w:rPr>
        <w:rFonts w:hint="eastAsia" w:ascii="宋体" w:hAnsi="宋体" w:eastAsia="宋体" w:cs="宋体"/>
      </w:rPr>
    </w:lvl>
    <w:lvl w:ilvl="3" w:tentative="0">
      <w:start w:val="1"/>
      <w:numFmt w:val="decimal"/>
      <w:pStyle w:val="665"/>
      <w:suff w:val="nothing"/>
      <w:lvlText w:val="%4."/>
      <w:lvlJc w:val="left"/>
      <w:pPr>
        <w:tabs>
          <w:tab w:val="left" w:pos="0"/>
        </w:tabs>
        <w:ind w:left="0" w:firstLine="0"/>
      </w:pPr>
      <w:rPr>
        <w:rFonts w:hint="eastAsia" w:ascii="宋体" w:hAnsi="宋体" w:eastAsia="宋体" w:cs="宋体"/>
      </w:rPr>
    </w:lvl>
    <w:lvl w:ilvl="4" w:tentative="0">
      <w:start w:val="1"/>
      <w:numFmt w:val="decimal"/>
      <w:pStyle w:val="666"/>
      <w:suff w:val="nothing"/>
      <w:lvlText w:val="%4.%5"/>
      <w:lvlJc w:val="left"/>
      <w:pPr>
        <w:ind w:left="0" w:firstLine="0"/>
      </w:pPr>
      <w:rPr>
        <w:rFonts w:hint="eastAsia" w:ascii="宋体" w:hAnsi="宋体" w:eastAsia="宋体" w:cs="宋体"/>
      </w:rPr>
    </w:lvl>
    <w:lvl w:ilvl="5" w:tentative="0">
      <w:start w:val="1"/>
      <w:numFmt w:val="decimal"/>
      <w:pStyle w:val="667"/>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CAB6340F"/>
    <w:multiLevelType w:val="singleLevel"/>
    <w:tmpl w:val="CAB6340F"/>
    <w:lvl w:ilvl="0" w:tentative="0">
      <w:start w:val="1"/>
      <w:numFmt w:val="decimal"/>
      <w:suff w:val="nothing"/>
      <w:lvlText w:val="%1."/>
      <w:lvlJc w:val="left"/>
      <w:pPr>
        <w:ind w:left="0" w:firstLine="1134"/>
      </w:pPr>
      <w:rPr>
        <w:rFonts w:hint="default"/>
      </w:rPr>
    </w:lvl>
  </w:abstractNum>
  <w:abstractNum w:abstractNumId="3">
    <w:nsid w:val="FFFFFF82"/>
    <w:multiLevelType w:val="singleLevel"/>
    <w:tmpl w:val="FFFFFF82"/>
    <w:lvl w:ilvl="0" w:tentative="0">
      <w:start w:val="1"/>
      <w:numFmt w:val="bullet"/>
      <w:pStyle w:val="630"/>
      <w:lvlText w:val=""/>
      <w:lvlJc w:val="left"/>
      <w:pPr>
        <w:tabs>
          <w:tab w:val="left" w:pos="6271"/>
        </w:tabs>
        <w:ind w:left="6271" w:hanging="360"/>
      </w:pPr>
      <w:rPr>
        <w:rFonts w:ascii="Wingdings" w:hAnsi="Wingdings"/>
      </w:rPr>
    </w:lvl>
  </w:abstractNum>
  <w:abstractNum w:abstractNumId="4">
    <w:nsid w:val="FFFFFF83"/>
    <w:multiLevelType w:val="singleLevel"/>
    <w:tmpl w:val="FFFFFF83"/>
    <w:lvl w:ilvl="0" w:tentative="0">
      <w:start w:val="1"/>
      <w:numFmt w:val="bullet"/>
      <w:pStyle w:val="359"/>
      <w:lvlText w:val=""/>
      <w:lvlJc w:val="left"/>
      <w:pPr>
        <w:tabs>
          <w:tab w:val="left" w:pos="780"/>
        </w:tabs>
        <w:ind w:left="780" w:hanging="360"/>
      </w:pPr>
      <w:rPr>
        <w:rFonts w:ascii="Wingdings" w:hAnsi="Wingdings"/>
      </w:rPr>
    </w:lvl>
  </w:abstractNum>
  <w:abstractNum w:abstractNumId="5">
    <w:nsid w:val="0000000B"/>
    <w:multiLevelType w:val="multilevel"/>
    <w:tmpl w:val="0000000B"/>
    <w:lvl w:ilvl="0" w:tentative="0">
      <w:start w:val="2"/>
      <w:numFmt w:val="decimal"/>
      <w:pStyle w:val="531"/>
      <w:lvlText w:val="%1."/>
      <w:lvlJc w:val="left"/>
      <w:pPr>
        <w:tabs>
          <w:tab w:val="left" w:pos="839"/>
        </w:tabs>
        <w:ind w:left="839" w:hanging="360"/>
      </w:pPr>
      <w:rPr>
        <w:color w:val="000000"/>
      </w:rPr>
    </w:lvl>
    <w:lvl w:ilvl="1" w:tentative="0">
      <w:start w:val="1"/>
      <w:numFmt w:val="lowerLetter"/>
      <w:pStyle w:val="216"/>
      <w:lvlText w:val="%1)"/>
      <w:lvlJc w:val="left"/>
      <w:pPr>
        <w:tabs>
          <w:tab w:val="left" w:pos="840"/>
        </w:tabs>
        <w:ind w:left="840" w:hanging="420"/>
      </w:pPr>
    </w:lvl>
    <w:lvl w:ilvl="2" w:tentative="0">
      <w:start w:val="1"/>
      <w:numFmt w:val="lowerRoman"/>
      <w:lvlText w:val="%1."/>
      <w:lvlJc w:val="right"/>
      <w:pPr>
        <w:tabs>
          <w:tab w:val="left" w:pos="1260"/>
        </w:tabs>
        <w:ind w:left="1260" w:hanging="420"/>
      </w:pPr>
    </w:lvl>
    <w:lvl w:ilvl="3" w:tentative="0">
      <w:start w:val="1"/>
      <w:numFmt w:val="decimal"/>
      <w:pStyle w:val="330"/>
      <w:lvlText w:val="%1)"/>
      <w:lvlJc w:val="left"/>
      <w:pPr>
        <w:tabs>
          <w:tab w:val="left" w:pos="1680"/>
        </w:tabs>
        <w:ind w:left="1680" w:hanging="420"/>
      </w:pPr>
      <w:rPr>
        <w:color w:val="000000"/>
      </w:rPr>
    </w:lvl>
    <w:lvl w:ilvl="4" w:tentative="0">
      <w:start w:val="1"/>
      <w:numFmt w:val="lowerLetter"/>
      <w:lvlText w:val="%1)"/>
      <w:lvlJc w:val="left"/>
      <w:pPr>
        <w:tabs>
          <w:tab w:val="left" w:pos="2100"/>
        </w:tabs>
        <w:ind w:left="2100" w:hanging="420"/>
      </w:pPr>
    </w:lvl>
    <w:lvl w:ilvl="5" w:tentative="0">
      <w:start w:val="1"/>
      <w:numFmt w:val="lowerRoman"/>
      <w:lvlText w:val="%1."/>
      <w:lvlJc w:val="right"/>
      <w:pPr>
        <w:tabs>
          <w:tab w:val="left" w:pos="2520"/>
        </w:tabs>
        <w:ind w:left="2520" w:hanging="420"/>
      </w:pPr>
    </w:lvl>
    <w:lvl w:ilvl="6" w:tentative="0">
      <w:start w:val="1"/>
      <w:numFmt w:val="decimal"/>
      <w:lvlText w:val="%1."/>
      <w:lvlJc w:val="left"/>
      <w:pPr>
        <w:tabs>
          <w:tab w:val="left" w:pos="2940"/>
        </w:tabs>
        <w:ind w:left="2940" w:hanging="420"/>
      </w:pPr>
    </w:lvl>
    <w:lvl w:ilvl="7" w:tentative="0">
      <w:start w:val="1"/>
      <w:numFmt w:val="lowerLetter"/>
      <w:pStyle w:val="376"/>
      <w:lvlText w:val="%1)"/>
      <w:lvlJc w:val="left"/>
      <w:pPr>
        <w:tabs>
          <w:tab w:val="left" w:pos="3360"/>
        </w:tabs>
        <w:ind w:left="3360" w:hanging="420"/>
      </w:pPr>
    </w:lvl>
    <w:lvl w:ilvl="8" w:tentative="0">
      <w:start w:val="1"/>
      <w:numFmt w:val="lowerRoman"/>
      <w:pStyle w:val="564"/>
      <w:lvlText w:val="%1."/>
      <w:lvlJc w:val="right"/>
      <w:pPr>
        <w:tabs>
          <w:tab w:val="left" w:pos="3780"/>
        </w:tabs>
        <w:ind w:left="3780" w:hanging="420"/>
      </w:pPr>
    </w:lvl>
  </w:abstractNum>
  <w:abstractNum w:abstractNumId="6">
    <w:nsid w:val="32714F5E"/>
    <w:multiLevelType w:val="multilevel"/>
    <w:tmpl w:val="32714F5E"/>
    <w:lvl w:ilvl="0" w:tentative="0">
      <w:start w:val="1"/>
      <w:numFmt w:val="chineseCountingThousand"/>
      <w:suff w:val="nothing"/>
      <w:lvlText w:val="第%1章"/>
      <w:lvlJc w:val="left"/>
      <w:pPr>
        <w:ind w:left="0" w:firstLine="0"/>
      </w:pPr>
      <w:rPr>
        <w:rFonts w:ascii="仿宋_GB2312" w:eastAsia="仿宋_GB2312"/>
        <w:sz w:val="44"/>
      </w:rPr>
    </w:lvl>
    <w:lvl w:ilvl="1" w:tentative="0">
      <w:start w:val="1"/>
      <w:numFmt w:val="decimal"/>
      <w:suff w:val="nothing"/>
      <w:lvlText w:val=""/>
      <w:lvlJc w:val="left"/>
      <w:pPr>
        <w:ind w:left="0" w:firstLine="0"/>
      </w:pPr>
    </w:lvl>
    <w:lvl w:ilvl="2" w:tentative="0">
      <w:start w:val="1"/>
      <w:numFmt w:val="decimal"/>
      <w:suff w:val="nothing"/>
      <w:lvlText w:val=""/>
      <w:lvlJc w:val="left"/>
      <w:pPr>
        <w:ind w:left="0" w:firstLine="0"/>
      </w:pPr>
    </w:lvl>
    <w:lvl w:ilvl="3" w:tentative="0">
      <w:start w:val="1"/>
      <w:numFmt w:val="decimal"/>
      <w:suff w:val="nothing"/>
      <w:lvlText w:val=""/>
      <w:lvlJc w:val="left"/>
      <w:pPr>
        <w:ind w:left="0" w:firstLine="0"/>
      </w:pPr>
    </w:lvl>
    <w:lvl w:ilvl="4" w:tentative="0">
      <w:start w:val="1"/>
      <w:numFmt w:val="decimal"/>
      <w:pStyle w:val="581"/>
      <w:suff w:val="nothing"/>
      <w:lvlText w:val=""/>
      <w:lvlJc w:val="left"/>
      <w:pPr>
        <w:ind w:left="0" w:firstLine="0"/>
      </w:pPr>
    </w:lvl>
    <w:lvl w:ilvl="5" w:tentative="0">
      <w:start w:val="1"/>
      <w:numFmt w:val="decimal"/>
      <w:pStyle w:val="638"/>
      <w:suff w:val="nothing"/>
      <w:lvlText w:val=""/>
      <w:lvlJc w:val="left"/>
      <w:pPr>
        <w:ind w:left="0" w:firstLine="0"/>
      </w:pPr>
    </w:lvl>
    <w:lvl w:ilvl="6" w:tentative="0">
      <w:start w:val="1"/>
      <w:numFmt w:val="decimal"/>
      <w:pStyle w:val="341"/>
      <w:suff w:val="nothing"/>
      <w:lvlText w:val=""/>
      <w:lvlJc w:val="left"/>
      <w:pPr>
        <w:ind w:left="0" w:firstLine="0"/>
      </w:pPr>
    </w:lvl>
    <w:lvl w:ilvl="7" w:tentative="0">
      <w:start w:val="1"/>
      <w:numFmt w:val="decimal"/>
      <w:pStyle w:val="393"/>
      <w:suff w:val="nothing"/>
      <w:lvlText w:val=""/>
      <w:lvlJc w:val="left"/>
      <w:pPr>
        <w:ind w:left="0" w:firstLine="0"/>
      </w:pPr>
    </w:lvl>
    <w:lvl w:ilvl="8" w:tentative="0">
      <w:start w:val="1"/>
      <w:numFmt w:val="decimal"/>
      <w:pStyle w:val="486"/>
      <w:suff w:val="nothing"/>
      <w:lvlText w:val=""/>
      <w:lvlJc w:val="left"/>
      <w:pPr>
        <w:ind w:left="0" w:firstLine="0"/>
      </w:pPr>
    </w:lvl>
  </w:abstractNum>
  <w:abstractNum w:abstractNumId="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418247A5"/>
    <w:multiLevelType w:val="multilevel"/>
    <w:tmpl w:val="418247A5"/>
    <w:lvl w:ilvl="0" w:tentative="0">
      <w:start w:val="1"/>
      <w:numFmt w:val="decimal"/>
      <w:pStyle w:val="316"/>
      <w:lvlText w:val="%1、"/>
      <w:lvlJc w:val="left"/>
      <w:pPr>
        <w:ind w:left="360" w:hanging="360"/>
      </w:pPr>
    </w:lvl>
    <w:lvl w:ilvl="1" w:tentative="0">
      <w:start w:val="1"/>
      <w:numFmt w:val="lowerLetter"/>
      <w:pStyle w:val="574"/>
      <w:lvlText w:val="%1)"/>
      <w:lvlJc w:val="left"/>
      <w:pPr>
        <w:ind w:left="840" w:hanging="420"/>
      </w:pPr>
    </w:lvl>
    <w:lvl w:ilvl="2" w:tentative="0">
      <w:start w:val="1"/>
      <w:numFmt w:val="lowerRoman"/>
      <w:pStyle w:val="423"/>
      <w:lvlText w:val="%1."/>
      <w:lvlJc w:val="right"/>
      <w:pPr>
        <w:ind w:left="1260" w:hanging="420"/>
      </w:pPr>
    </w:lvl>
    <w:lvl w:ilvl="3" w:tentative="0">
      <w:start w:val="1"/>
      <w:numFmt w:val="decimal"/>
      <w:pStyle w:val="405"/>
      <w:lvlText w:val="%1."/>
      <w:lvlJc w:val="left"/>
      <w:pPr>
        <w:ind w:left="1680" w:hanging="420"/>
      </w:pPr>
    </w:lvl>
    <w:lvl w:ilvl="4" w:tentative="0">
      <w:start w:val="1"/>
      <w:numFmt w:val="lowerLetter"/>
      <w:lvlText w:val="%1)"/>
      <w:lvlJc w:val="left"/>
      <w:pPr>
        <w:ind w:left="2100" w:hanging="420"/>
      </w:pPr>
    </w:lvl>
    <w:lvl w:ilvl="5" w:tentative="0">
      <w:start w:val="1"/>
      <w:numFmt w:val="lowerRoman"/>
      <w:lvlText w:val="%1."/>
      <w:lvlJc w:val="right"/>
      <w:pPr>
        <w:ind w:left="2520" w:hanging="420"/>
      </w:pPr>
    </w:lvl>
    <w:lvl w:ilvl="6" w:tentative="0">
      <w:start w:val="1"/>
      <w:numFmt w:val="decimal"/>
      <w:lvlText w:val="%1."/>
      <w:lvlJc w:val="left"/>
      <w:pPr>
        <w:ind w:left="2940" w:hanging="420"/>
      </w:pPr>
    </w:lvl>
    <w:lvl w:ilvl="7" w:tentative="0">
      <w:start w:val="1"/>
      <w:numFmt w:val="lowerLetter"/>
      <w:lvlText w:val="%1)"/>
      <w:lvlJc w:val="left"/>
      <w:pPr>
        <w:ind w:left="3360" w:hanging="420"/>
      </w:pPr>
    </w:lvl>
    <w:lvl w:ilvl="8" w:tentative="0">
      <w:start w:val="1"/>
      <w:numFmt w:val="lowerRoman"/>
      <w:lvlText w:val="%1."/>
      <w:lvlJc w:val="right"/>
      <w:pPr>
        <w:ind w:left="3780" w:hanging="420"/>
      </w:pPr>
    </w:lvl>
  </w:abstractNum>
  <w:abstractNum w:abstractNumId="9">
    <w:nsid w:val="4AEA2680"/>
    <w:multiLevelType w:val="multilevel"/>
    <w:tmpl w:val="4AEA2680"/>
    <w:lvl w:ilvl="0" w:tentative="0">
      <w:start w:val="2"/>
      <w:numFmt w:val="decimal"/>
      <w:pStyle w:val="544"/>
      <w:lvlText w:val="%1."/>
      <w:lvlJc w:val="left"/>
      <w:pPr>
        <w:tabs>
          <w:tab w:val="left" w:pos="540"/>
        </w:tabs>
        <w:ind w:left="540" w:hanging="360"/>
      </w:pPr>
      <w:rPr>
        <w:color w:val="000000"/>
      </w:rPr>
    </w:lvl>
    <w:lvl w:ilvl="1" w:tentative="0">
      <w:start w:val="1"/>
      <w:numFmt w:val="lowerLetter"/>
      <w:lvlText w:val="%1)"/>
      <w:lvlJc w:val="left"/>
      <w:pPr>
        <w:tabs>
          <w:tab w:val="left" w:pos="840"/>
        </w:tabs>
        <w:ind w:left="840" w:hanging="420"/>
      </w:pPr>
    </w:lvl>
    <w:lvl w:ilvl="2" w:tentative="0">
      <w:start w:val="1"/>
      <w:numFmt w:val="lowerRoman"/>
      <w:pStyle w:val="365"/>
      <w:lvlText w:val="%1."/>
      <w:lvlJc w:val="right"/>
      <w:pPr>
        <w:tabs>
          <w:tab w:val="left" w:pos="1260"/>
        </w:tabs>
        <w:ind w:left="1260" w:hanging="420"/>
      </w:pPr>
    </w:lvl>
    <w:lvl w:ilvl="3" w:tentative="0">
      <w:start w:val="1"/>
      <w:numFmt w:val="decimal"/>
      <w:pStyle w:val="468"/>
      <w:lvlText w:val="%1)"/>
      <w:lvlJc w:val="left"/>
      <w:pPr>
        <w:tabs>
          <w:tab w:val="left" w:pos="1680"/>
        </w:tabs>
        <w:ind w:left="1680" w:hanging="420"/>
      </w:pPr>
      <w:rPr>
        <w:color w:val="000000"/>
      </w:rPr>
    </w:lvl>
    <w:lvl w:ilvl="4" w:tentative="0">
      <w:start w:val="1"/>
      <w:numFmt w:val="lowerLetter"/>
      <w:lvlText w:val="%1)"/>
      <w:lvlJc w:val="left"/>
      <w:pPr>
        <w:tabs>
          <w:tab w:val="left" w:pos="2100"/>
        </w:tabs>
        <w:ind w:left="2100" w:hanging="420"/>
      </w:pPr>
    </w:lvl>
    <w:lvl w:ilvl="5" w:tentative="0">
      <w:start w:val="1"/>
      <w:numFmt w:val="lowerRoman"/>
      <w:lvlText w:val="%1."/>
      <w:lvlJc w:val="right"/>
      <w:pPr>
        <w:tabs>
          <w:tab w:val="left" w:pos="2520"/>
        </w:tabs>
        <w:ind w:left="2520" w:hanging="420"/>
      </w:pPr>
    </w:lvl>
    <w:lvl w:ilvl="6" w:tentative="0">
      <w:start w:val="1"/>
      <w:numFmt w:val="decimal"/>
      <w:lvlText w:val="%1."/>
      <w:lvlJc w:val="left"/>
      <w:pPr>
        <w:tabs>
          <w:tab w:val="left" w:pos="2940"/>
        </w:tabs>
        <w:ind w:left="2940" w:hanging="420"/>
      </w:pPr>
    </w:lvl>
    <w:lvl w:ilvl="7" w:tentative="0">
      <w:start w:val="1"/>
      <w:numFmt w:val="lowerLetter"/>
      <w:lvlText w:val="%1)"/>
      <w:lvlJc w:val="left"/>
      <w:pPr>
        <w:tabs>
          <w:tab w:val="left" w:pos="3360"/>
        </w:tabs>
        <w:ind w:left="3360" w:hanging="420"/>
      </w:pPr>
    </w:lvl>
    <w:lvl w:ilvl="8" w:tentative="0">
      <w:start w:val="1"/>
      <w:numFmt w:val="lowerRoman"/>
      <w:lvlText w:val="%1."/>
      <w:lvlJc w:val="right"/>
      <w:pPr>
        <w:tabs>
          <w:tab w:val="left" w:pos="3780"/>
        </w:tabs>
        <w:ind w:left="3780" w:hanging="420"/>
      </w:pPr>
    </w:lvl>
  </w:abstractNum>
  <w:abstractNum w:abstractNumId="10">
    <w:nsid w:val="6CC92841"/>
    <w:multiLevelType w:val="multilevel"/>
    <w:tmpl w:val="6CC92841"/>
    <w:lvl w:ilvl="0" w:tentative="0">
      <w:start w:val="1"/>
      <w:numFmt w:val="decimal"/>
      <w:pStyle w:val="479"/>
      <w:lvlText w:val="%1、"/>
      <w:lvlJc w:val="left"/>
      <w:pPr>
        <w:ind w:left="1280" w:hanging="720"/>
      </w:pPr>
    </w:lvl>
    <w:lvl w:ilvl="1" w:tentative="0">
      <w:start w:val="1"/>
      <w:numFmt w:val="lowerLetter"/>
      <w:lvlText w:val="%1)"/>
      <w:lvlJc w:val="left"/>
      <w:pPr>
        <w:ind w:left="1400" w:hanging="420"/>
      </w:pPr>
    </w:lvl>
    <w:lvl w:ilvl="2" w:tentative="0">
      <w:start w:val="1"/>
      <w:numFmt w:val="lowerRoman"/>
      <w:lvlText w:val="%1."/>
      <w:lvlJc w:val="right"/>
      <w:pPr>
        <w:ind w:left="1820" w:hanging="420"/>
      </w:pPr>
    </w:lvl>
    <w:lvl w:ilvl="3" w:tentative="0">
      <w:start w:val="1"/>
      <w:numFmt w:val="decimal"/>
      <w:lvlText w:val="%1."/>
      <w:lvlJc w:val="left"/>
      <w:pPr>
        <w:ind w:left="2240" w:hanging="420"/>
      </w:pPr>
    </w:lvl>
    <w:lvl w:ilvl="4" w:tentative="0">
      <w:start w:val="1"/>
      <w:numFmt w:val="lowerLetter"/>
      <w:lvlText w:val="%1)"/>
      <w:lvlJc w:val="left"/>
      <w:pPr>
        <w:ind w:left="2660" w:hanging="420"/>
      </w:pPr>
    </w:lvl>
    <w:lvl w:ilvl="5" w:tentative="0">
      <w:start w:val="1"/>
      <w:numFmt w:val="lowerRoman"/>
      <w:lvlText w:val="%1."/>
      <w:lvlJc w:val="right"/>
      <w:pPr>
        <w:ind w:left="3080" w:hanging="420"/>
      </w:pPr>
    </w:lvl>
    <w:lvl w:ilvl="6" w:tentative="0">
      <w:start w:val="1"/>
      <w:numFmt w:val="decimal"/>
      <w:lvlText w:val="%1."/>
      <w:lvlJc w:val="left"/>
      <w:pPr>
        <w:ind w:left="3500" w:hanging="420"/>
      </w:pPr>
    </w:lvl>
    <w:lvl w:ilvl="7" w:tentative="0">
      <w:start w:val="1"/>
      <w:numFmt w:val="lowerLetter"/>
      <w:lvlText w:val="%1)"/>
      <w:lvlJc w:val="left"/>
      <w:pPr>
        <w:ind w:left="3920" w:hanging="420"/>
      </w:pPr>
    </w:lvl>
    <w:lvl w:ilvl="8" w:tentative="0">
      <w:start w:val="1"/>
      <w:numFmt w:val="lowerRoman"/>
      <w:lvlText w:val="%1."/>
      <w:lvlJc w:val="right"/>
      <w:pPr>
        <w:ind w:left="4340" w:hanging="420"/>
      </w:pPr>
    </w:lvl>
  </w:abstractNum>
  <w:num w:numId="1">
    <w:abstractNumId w:val="7"/>
  </w:num>
  <w:num w:numId="2">
    <w:abstractNumId w:val="5"/>
  </w:num>
  <w:num w:numId="3">
    <w:abstractNumId w:val="8"/>
  </w:num>
  <w:num w:numId="4">
    <w:abstractNumId w:val="6"/>
  </w:num>
  <w:num w:numId="5">
    <w:abstractNumId w:val="4"/>
  </w:num>
  <w:num w:numId="6">
    <w:abstractNumId w:val="9"/>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iZTVmMzUzNzgzYzI3YmQxZTFkZjFmMTQ3YTg4ODQifQ=="/>
  </w:docVars>
  <w:rsids>
    <w:rsidRoot w:val="00F92C16"/>
    <w:rsid w:val="00000233"/>
    <w:rsid w:val="00000ECD"/>
    <w:rsid w:val="00000F1B"/>
    <w:rsid w:val="0000231D"/>
    <w:rsid w:val="00002B78"/>
    <w:rsid w:val="0000340F"/>
    <w:rsid w:val="00004301"/>
    <w:rsid w:val="00004FA3"/>
    <w:rsid w:val="000071CE"/>
    <w:rsid w:val="00007558"/>
    <w:rsid w:val="00010DEB"/>
    <w:rsid w:val="00011A6D"/>
    <w:rsid w:val="00011E31"/>
    <w:rsid w:val="00011FD6"/>
    <w:rsid w:val="00012798"/>
    <w:rsid w:val="00013A01"/>
    <w:rsid w:val="00013A35"/>
    <w:rsid w:val="00014DBD"/>
    <w:rsid w:val="0001574D"/>
    <w:rsid w:val="00016BB9"/>
    <w:rsid w:val="000207AF"/>
    <w:rsid w:val="000212D5"/>
    <w:rsid w:val="00021C19"/>
    <w:rsid w:val="000221F4"/>
    <w:rsid w:val="00022EFF"/>
    <w:rsid w:val="00023D70"/>
    <w:rsid w:val="0002421C"/>
    <w:rsid w:val="00024CB7"/>
    <w:rsid w:val="00025441"/>
    <w:rsid w:val="00025862"/>
    <w:rsid w:val="00025EC3"/>
    <w:rsid w:val="00026A6F"/>
    <w:rsid w:val="00031689"/>
    <w:rsid w:val="00031E98"/>
    <w:rsid w:val="000322BC"/>
    <w:rsid w:val="000323BB"/>
    <w:rsid w:val="00033182"/>
    <w:rsid w:val="00033C74"/>
    <w:rsid w:val="00033D69"/>
    <w:rsid w:val="00033EC1"/>
    <w:rsid w:val="00034458"/>
    <w:rsid w:val="000344A0"/>
    <w:rsid w:val="00035195"/>
    <w:rsid w:val="00036C58"/>
    <w:rsid w:val="00036D27"/>
    <w:rsid w:val="000375B5"/>
    <w:rsid w:val="00037880"/>
    <w:rsid w:val="00040BC0"/>
    <w:rsid w:val="000413F0"/>
    <w:rsid w:val="00042600"/>
    <w:rsid w:val="00042E2C"/>
    <w:rsid w:val="000438BD"/>
    <w:rsid w:val="00043E56"/>
    <w:rsid w:val="000441B3"/>
    <w:rsid w:val="00044390"/>
    <w:rsid w:val="00044ADD"/>
    <w:rsid w:val="00044EDB"/>
    <w:rsid w:val="00046219"/>
    <w:rsid w:val="00046479"/>
    <w:rsid w:val="00046563"/>
    <w:rsid w:val="00047359"/>
    <w:rsid w:val="0004794B"/>
    <w:rsid w:val="0005148E"/>
    <w:rsid w:val="00051825"/>
    <w:rsid w:val="00054886"/>
    <w:rsid w:val="00054C7F"/>
    <w:rsid w:val="00056D41"/>
    <w:rsid w:val="00056D8F"/>
    <w:rsid w:val="00061378"/>
    <w:rsid w:val="00061A35"/>
    <w:rsid w:val="00062CF6"/>
    <w:rsid w:val="00063A91"/>
    <w:rsid w:val="00063D1B"/>
    <w:rsid w:val="00063D9F"/>
    <w:rsid w:val="000641E3"/>
    <w:rsid w:val="00065D53"/>
    <w:rsid w:val="000671DB"/>
    <w:rsid w:val="000704B9"/>
    <w:rsid w:val="00070513"/>
    <w:rsid w:val="00070D7C"/>
    <w:rsid w:val="00075BE4"/>
    <w:rsid w:val="000775E0"/>
    <w:rsid w:val="00077624"/>
    <w:rsid w:val="00077752"/>
    <w:rsid w:val="00077E3A"/>
    <w:rsid w:val="00080439"/>
    <w:rsid w:val="000804E4"/>
    <w:rsid w:val="000811A2"/>
    <w:rsid w:val="00082264"/>
    <w:rsid w:val="00082C90"/>
    <w:rsid w:val="0008321D"/>
    <w:rsid w:val="00083CAA"/>
    <w:rsid w:val="00084970"/>
    <w:rsid w:val="00084E38"/>
    <w:rsid w:val="00084F33"/>
    <w:rsid w:val="000857E0"/>
    <w:rsid w:val="0008708E"/>
    <w:rsid w:val="000873AC"/>
    <w:rsid w:val="00090265"/>
    <w:rsid w:val="000923EF"/>
    <w:rsid w:val="000923F9"/>
    <w:rsid w:val="00093126"/>
    <w:rsid w:val="000939B9"/>
    <w:rsid w:val="00093D4A"/>
    <w:rsid w:val="00093D7B"/>
    <w:rsid w:val="00094908"/>
    <w:rsid w:val="000955A5"/>
    <w:rsid w:val="00095770"/>
    <w:rsid w:val="00095839"/>
    <w:rsid w:val="00096096"/>
    <w:rsid w:val="00096ED5"/>
    <w:rsid w:val="00096FD5"/>
    <w:rsid w:val="00097A14"/>
    <w:rsid w:val="00097D58"/>
    <w:rsid w:val="000A04A7"/>
    <w:rsid w:val="000A0D67"/>
    <w:rsid w:val="000A2B08"/>
    <w:rsid w:val="000A2C01"/>
    <w:rsid w:val="000A33DC"/>
    <w:rsid w:val="000A386C"/>
    <w:rsid w:val="000A4D99"/>
    <w:rsid w:val="000A6066"/>
    <w:rsid w:val="000A6306"/>
    <w:rsid w:val="000A67D5"/>
    <w:rsid w:val="000B23A7"/>
    <w:rsid w:val="000B2465"/>
    <w:rsid w:val="000B2498"/>
    <w:rsid w:val="000B25D0"/>
    <w:rsid w:val="000B40F3"/>
    <w:rsid w:val="000B49AF"/>
    <w:rsid w:val="000B4ED8"/>
    <w:rsid w:val="000B505F"/>
    <w:rsid w:val="000B5C49"/>
    <w:rsid w:val="000B6AC2"/>
    <w:rsid w:val="000B7903"/>
    <w:rsid w:val="000C1BD5"/>
    <w:rsid w:val="000C3314"/>
    <w:rsid w:val="000C347B"/>
    <w:rsid w:val="000C34F9"/>
    <w:rsid w:val="000C3A87"/>
    <w:rsid w:val="000C3BB3"/>
    <w:rsid w:val="000C5FC3"/>
    <w:rsid w:val="000C7487"/>
    <w:rsid w:val="000C78A6"/>
    <w:rsid w:val="000D1C20"/>
    <w:rsid w:val="000D2EC8"/>
    <w:rsid w:val="000D4AC5"/>
    <w:rsid w:val="000D5CD3"/>
    <w:rsid w:val="000D5D25"/>
    <w:rsid w:val="000D6742"/>
    <w:rsid w:val="000E014A"/>
    <w:rsid w:val="000E02A0"/>
    <w:rsid w:val="000E09EB"/>
    <w:rsid w:val="000E0B4B"/>
    <w:rsid w:val="000E0E52"/>
    <w:rsid w:val="000E13AE"/>
    <w:rsid w:val="000E1523"/>
    <w:rsid w:val="000E21B8"/>
    <w:rsid w:val="000E2E06"/>
    <w:rsid w:val="000E39DC"/>
    <w:rsid w:val="000E3FC2"/>
    <w:rsid w:val="000E41C7"/>
    <w:rsid w:val="000E4A11"/>
    <w:rsid w:val="000E4AF2"/>
    <w:rsid w:val="000E4D98"/>
    <w:rsid w:val="000E6401"/>
    <w:rsid w:val="000E767D"/>
    <w:rsid w:val="000F0672"/>
    <w:rsid w:val="000F0A0C"/>
    <w:rsid w:val="000F24C2"/>
    <w:rsid w:val="000F325B"/>
    <w:rsid w:val="000F37D4"/>
    <w:rsid w:val="000F4570"/>
    <w:rsid w:val="000F4F13"/>
    <w:rsid w:val="000F56C9"/>
    <w:rsid w:val="000F5795"/>
    <w:rsid w:val="000F6B1C"/>
    <w:rsid w:val="000F6DB1"/>
    <w:rsid w:val="001005F9"/>
    <w:rsid w:val="00100A90"/>
    <w:rsid w:val="00102ADB"/>
    <w:rsid w:val="00102EF6"/>
    <w:rsid w:val="00103F20"/>
    <w:rsid w:val="00104819"/>
    <w:rsid w:val="001057C3"/>
    <w:rsid w:val="00105A2F"/>
    <w:rsid w:val="00106928"/>
    <w:rsid w:val="001069D0"/>
    <w:rsid w:val="00106AAF"/>
    <w:rsid w:val="00107817"/>
    <w:rsid w:val="001107B2"/>
    <w:rsid w:val="00111153"/>
    <w:rsid w:val="00111290"/>
    <w:rsid w:val="0011157F"/>
    <w:rsid w:val="0011187D"/>
    <w:rsid w:val="00112384"/>
    <w:rsid w:val="00112E27"/>
    <w:rsid w:val="00113457"/>
    <w:rsid w:val="00113949"/>
    <w:rsid w:val="00114560"/>
    <w:rsid w:val="00114C85"/>
    <w:rsid w:val="0011514E"/>
    <w:rsid w:val="001156CC"/>
    <w:rsid w:val="001158CF"/>
    <w:rsid w:val="00115D64"/>
    <w:rsid w:val="00117A51"/>
    <w:rsid w:val="00120921"/>
    <w:rsid w:val="00120BB4"/>
    <w:rsid w:val="00120F0A"/>
    <w:rsid w:val="00121418"/>
    <w:rsid w:val="0012154B"/>
    <w:rsid w:val="001215E1"/>
    <w:rsid w:val="00122CFE"/>
    <w:rsid w:val="00122CFF"/>
    <w:rsid w:val="00123A80"/>
    <w:rsid w:val="0012494C"/>
    <w:rsid w:val="00124D5A"/>
    <w:rsid w:val="001259EE"/>
    <w:rsid w:val="00125D37"/>
    <w:rsid w:val="001268BB"/>
    <w:rsid w:val="00126CA4"/>
    <w:rsid w:val="0012796E"/>
    <w:rsid w:val="00127C03"/>
    <w:rsid w:val="00130279"/>
    <w:rsid w:val="00131A9D"/>
    <w:rsid w:val="00131AA0"/>
    <w:rsid w:val="00131D9B"/>
    <w:rsid w:val="0013245E"/>
    <w:rsid w:val="001345BD"/>
    <w:rsid w:val="00135B64"/>
    <w:rsid w:val="00135EF6"/>
    <w:rsid w:val="00136A1B"/>
    <w:rsid w:val="00137613"/>
    <w:rsid w:val="00137BAE"/>
    <w:rsid w:val="001400DF"/>
    <w:rsid w:val="001401E9"/>
    <w:rsid w:val="0014069F"/>
    <w:rsid w:val="00142C8B"/>
    <w:rsid w:val="00143288"/>
    <w:rsid w:val="00143E69"/>
    <w:rsid w:val="00144243"/>
    <w:rsid w:val="00144D25"/>
    <w:rsid w:val="00145080"/>
    <w:rsid w:val="00146C61"/>
    <w:rsid w:val="00150D47"/>
    <w:rsid w:val="001516EF"/>
    <w:rsid w:val="00152ADF"/>
    <w:rsid w:val="001533F1"/>
    <w:rsid w:val="00154390"/>
    <w:rsid w:val="0015466D"/>
    <w:rsid w:val="00154CDF"/>
    <w:rsid w:val="00156F3C"/>
    <w:rsid w:val="001577B8"/>
    <w:rsid w:val="00160DFA"/>
    <w:rsid w:val="00160ECE"/>
    <w:rsid w:val="00161A7C"/>
    <w:rsid w:val="00161FD2"/>
    <w:rsid w:val="0016284D"/>
    <w:rsid w:val="001646C4"/>
    <w:rsid w:val="001655E9"/>
    <w:rsid w:val="001663F6"/>
    <w:rsid w:val="0016679A"/>
    <w:rsid w:val="00166875"/>
    <w:rsid w:val="00166E5B"/>
    <w:rsid w:val="0016756F"/>
    <w:rsid w:val="001706AA"/>
    <w:rsid w:val="00173212"/>
    <w:rsid w:val="00173995"/>
    <w:rsid w:val="00173FEF"/>
    <w:rsid w:val="0017440C"/>
    <w:rsid w:val="00174DB0"/>
    <w:rsid w:val="00175924"/>
    <w:rsid w:val="0018072D"/>
    <w:rsid w:val="00180932"/>
    <w:rsid w:val="001815FC"/>
    <w:rsid w:val="00181728"/>
    <w:rsid w:val="001831FE"/>
    <w:rsid w:val="00183855"/>
    <w:rsid w:val="00183B12"/>
    <w:rsid w:val="001846AE"/>
    <w:rsid w:val="00186160"/>
    <w:rsid w:val="00186198"/>
    <w:rsid w:val="00187263"/>
    <w:rsid w:val="00187929"/>
    <w:rsid w:val="00187F4B"/>
    <w:rsid w:val="001915AF"/>
    <w:rsid w:val="00192289"/>
    <w:rsid w:val="00193961"/>
    <w:rsid w:val="00193E1D"/>
    <w:rsid w:val="00194AF7"/>
    <w:rsid w:val="00195A97"/>
    <w:rsid w:val="001971D8"/>
    <w:rsid w:val="00197F41"/>
    <w:rsid w:val="001A0168"/>
    <w:rsid w:val="001A02F2"/>
    <w:rsid w:val="001A0BB0"/>
    <w:rsid w:val="001A150D"/>
    <w:rsid w:val="001A1FED"/>
    <w:rsid w:val="001A22D8"/>
    <w:rsid w:val="001A2768"/>
    <w:rsid w:val="001A293B"/>
    <w:rsid w:val="001A33DF"/>
    <w:rsid w:val="001A4009"/>
    <w:rsid w:val="001A466F"/>
    <w:rsid w:val="001A51FE"/>
    <w:rsid w:val="001A5A71"/>
    <w:rsid w:val="001A731A"/>
    <w:rsid w:val="001A7B22"/>
    <w:rsid w:val="001B054A"/>
    <w:rsid w:val="001B0E07"/>
    <w:rsid w:val="001B0E88"/>
    <w:rsid w:val="001B10E1"/>
    <w:rsid w:val="001B1B67"/>
    <w:rsid w:val="001B23DF"/>
    <w:rsid w:val="001B38C7"/>
    <w:rsid w:val="001B3C3E"/>
    <w:rsid w:val="001B43ED"/>
    <w:rsid w:val="001B4D85"/>
    <w:rsid w:val="001B5705"/>
    <w:rsid w:val="001B59A6"/>
    <w:rsid w:val="001B7D04"/>
    <w:rsid w:val="001C0720"/>
    <w:rsid w:val="001C1E2A"/>
    <w:rsid w:val="001C221D"/>
    <w:rsid w:val="001C4232"/>
    <w:rsid w:val="001C53D3"/>
    <w:rsid w:val="001C57C5"/>
    <w:rsid w:val="001C593B"/>
    <w:rsid w:val="001C5DF2"/>
    <w:rsid w:val="001C64A0"/>
    <w:rsid w:val="001C6F43"/>
    <w:rsid w:val="001C7C81"/>
    <w:rsid w:val="001C7F29"/>
    <w:rsid w:val="001D0DC8"/>
    <w:rsid w:val="001D0E03"/>
    <w:rsid w:val="001D39DA"/>
    <w:rsid w:val="001D3E15"/>
    <w:rsid w:val="001D4DF7"/>
    <w:rsid w:val="001D602C"/>
    <w:rsid w:val="001D6D72"/>
    <w:rsid w:val="001D7D26"/>
    <w:rsid w:val="001E15F9"/>
    <w:rsid w:val="001E242C"/>
    <w:rsid w:val="001E4942"/>
    <w:rsid w:val="001E4C87"/>
    <w:rsid w:val="001E4F66"/>
    <w:rsid w:val="001E5B8B"/>
    <w:rsid w:val="001E5D33"/>
    <w:rsid w:val="001E6B5C"/>
    <w:rsid w:val="001E71D7"/>
    <w:rsid w:val="001E7C0E"/>
    <w:rsid w:val="001E7F60"/>
    <w:rsid w:val="001F0096"/>
    <w:rsid w:val="001F08C6"/>
    <w:rsid w:val="001F10D7"/>
    <w:rsid w:val="001F118E"/>
    <w:rsid w:val="001F16F8"/>
    <w:rsid w:val="001F37BF"/>
    <w:rsid w:val="001F423A"/>
    <w:rsid w:val="001F4CC7"/>
    <w:rsid w:val="001F517E"/>
    <w:rsid w:val="001F58F8"/>
    <w:rsid w:val="001F6831"/>
    <w:rsid w:val="001F6F41"/>
    <w:rsid w:val="001F7553"/>
    <w:rsid w:val="00200339"/>
    <w:rsid w:val="00200796"/>
    <w:rsid w:val="00200D9B"/>
    <w:rsid w:val="00201BF1"/>
    <w:rsid w:val="0020236C"/>
    <w:rsid w:val="00202F8F"/>
    <w:rsid w:val="00203200"/>
    <w:rsid w:val="00204269"/>
    <w:rsid w:val="0020477C"/>
    <w:rsid w:val="00204FFE"/>
    <w:rsid w:val="002051F0"/>
    <w:rsid w:val="002059A4"/>
    <w:rsid w:val="002063E3"/>
    <w:rsid w:val="00207509"/>
    <w:rsid w:val="00212B79"/>
    <w:rsid w:val="00214FCC"/>
    <w:rsid w:val="00215261"/>
    <w:rsid w:val="00215827"/>
    <w:rsid w:val="00216789"/>
    <w:rsid w:val="00216915"/>
    <w:rsid w:val="00216990"/>
    <w:rsid w:val="00216EE9"/>
    <w:rsid w:val="00223949"/>
    <w:rsid w:val="00224BD9"/>
    <w:rsid w:val="00225179"/>
    <w:rsid w:val="002259BA"/>
    <w:rsid w:val="002262D9"/>
    <w:rsid w:val="0023076A"/>
    <w:rsid w:val="00230D39"/>
    <w:rsid w:val="00231143"/>
    <w:rsid w:val="00232AB1"/>
    <w:rsid w:val="00232D3C"/>
    <w:rsid w:val="002333E8"/>
    <w:rsid w:val="00235926"/>
    <w:rsid w:val="00235C96"/>
    <w:rsid w:val="00237968"/>
    <w:rsid w:val="002402C0"/>
    <w:rsid w:val="0024087D"/>
    <w:rsid w:val="00240ADA"/>
    <w:rsid w:val="002414C4"/>
    <w:rsid w:val="0024264A"/>
    <w:rsid w:val="00243454"/>
    <w:rsid w:val="00244522"/>
    <w:rsid w:val="00244D2A"/>
    <w:rsid w:val="00244E42"/>
    <w:rsid w:val="002467AD"/>
    <w:rsid w:val="00250937"/>
    <w:rsid w:val="0025164C"/>
    <w:rsid w:val="00251C30"/>
    <w:rsid w:val="00252D1F"/>
    <w:rsid w:val="00252E4D"/>
    <w:rsid w:val="00254351"/>
    <w:rsid w:val="0025446E"/>
    <w:rsid w:val="0025476D"/>
    <w:rsid w:val="002552B0"/>
    <w:rsid w:val="00255BD8"/>
    <w:rsid w:val="00255ECD"/>
    <w:rsid w:val="00256ACD"/>
    <w:rsid w:val="002602A2"/>
    <w:rsid w:val="0026042D"/>
    <w:rsid w:val="00260B97"/>
    <w:rsid w:val="0026163B"/>
    <w:rsid w:val="00262087"/>
    <w:rsid w:val="002620B8"/>
    <w:rsid w:val="00262DBF"/>
    <w:rsid w:val="0026317F"/>
    <w:rsid w:val="00263A7C"/>
    <w:rsid w:val="00264D4D"/>
    <w:rsid w:val="00265B3B"/>
    <w:rsid w:val="00265EE0"/>
    <w:rsid w:val="00265F02"/>
    <w:rsid w:val="00265F50"/>
    <w:rsid w:val="00267D25"/>
    <w:rsid w:val="0027044C"/>
    <w:rsid w:val="002705B4"/>
    <w:rsid w:val="0027138C"/>
    <w:rsid w:val="002725DF"/>
    <w:rsid w:val="00274710"/>
    <w:rsid w:val="00274803"/>
    <w:rsid w:val="002748CC"/>
    <w:rsid w:val="0027501B"/>
    <w:rsid w:val="002768ED"/>
    <w:rsid w:val="00277071"/>
    <w:rsid w:val="002770CB"/>
    <w:rsid w:val="002807EA"/>
    <w:rsid w:val="00280DB7"/>
    <w:rsid w:val="0028133D"/>
    <w:rsid w:val="00281363"/>
    <w:rsid w:val="00281B45"/>
    <w:rsid w:val="00283F7E"/>
    <w:rsid w:val="002847AF"/>
    <w:rsid w:val="00284916"/>
    <w:rsid w:val="002867DA"/>
    <w:rsid w:val="002869F5"/>
    <w:rsid w:val="00286D9A"/>
    <w:rsid w:val="002872B1"/>
    <w:rsid w:val="0028772B"/>
    <w:rsid w:val="00287B1A"/>
    <w:rsid w:val="00287D00"/>
    <w:rsid w:val="0029002C"/>
    <w:rsid w:val="00290B34"/>
    <w:rsid w:val="00290CC1"/>
    <w:rsid w:val="002912B1"/>
    <w:rsid w:val="00291C8D"/>
    <w:rsid w:val="002927C9"/>
    <w:rsid w:val="00292A30"/>
    <w:rsid w:val="00292BA9"/>
    <w:rsid w:val="0029378A"/>
    <w:rsid w:val="00293A86"/>
    <w:rsid w:val="0029402D"/>
    <w:rsid w:val="00296230"/>
    <w:rsid w:val="00297429"/>
    <w:rsid w:val="002A0749"/>
    <w:rsid w:val="002A1562"/>
    <w:rsid w:val="002A15E3"/>
    <w:rsid w:val="002A2C48"/>
    <w:rsid w:val="002A37C3"/>
    <w:rsid w:val="002A39D4"/>
    <w:rsid w:val="002A461F"/>
    <w:rsid w:val="002A5592"/>
    <w:rsid w:val="002A5828"/>
    <w:rsid w:val="002A58F4"/>
    <w:rsid w:val="002A5C31"/>
    <w:rsid w:val="002A782A"/>
    <w:rsid w:val="002A78C3"/>
    <w:rsid w:val="002B0D07"/>
    <w:rsid w:val="002B0F3E"/>
    <w:rsid w:val="002B0FE3"/>
    <w:rsid w:val="002B17A1"/>
    <w:rsid w:val="002B18BA"/>
    <w:rsid w:val="002B23BA"/>
    <w:rsid w:val="002B2716"/>
    <w:rsid w:val="002B3439"/>
    <w:rsid w:val="002B3726"/>
    <w:rsid w:val="002B403F"/>
    <w:rsid w:val="002B4ADF"/>
    <w:rsid w:val="002B4E52"/>
    <w:rsid w:val="002B69B4"/>
    <w:rsid w:val="002B74E8"/>
    <w:rsid w:val="002B7B8E"/>
    <w:rsid w:val="002C047D"/>
    <w:rsid w:val="002C0FDB"/>
    <w:rsid w:val="002C11D1"/>
    <w:rsid w:val="002C1B74"/>
    <w:rsid w:val="002C223B"/>
    <w:rsid w:val="002C26DB"/>
    <w:rsid w:val="002C3378"/>
    <w:rsid w:val="002C357F"/>
    <w:rsid w:val="002C523E"/>
    <w:rsid w:val="002D05E8"/>
    <w:rsid w:val="002D1B37"/>
    <w:rsid w:val="002D234D"/>
    <w:rsid w:val="002D2BB2"/>
    <w:rsid w:val="002D2DA1"/>
    <w:rsid w:val="002D41A8"/>
    <w:rsid w:val="002D4723"/>
    <w:rsid w:val="002E0B16"/>
    <w:rsid w:val="002E2631"/>
    <w:rsid w:val="002E27D2"/>
    <w:rsid w:val="002E3D71"/>
    <w:rsid w:val="002E4334"/>
    <w:rsid w:val="002E4932"/>
    <w:rsid w:val="002E4D4E"/>
    <w:rsid w:val="002E6147"/>
    <w:rsid w:val="002E6443"/>
    <w:rsid w:val="002E6AA2"/>
    <w:rsid w:val="002E6BF1"/>
    <w:rsid w:val="002E799E"/>
    <w:rsid w:val="002F01FC"/>
    <w:rsid w:val="002F0A47"/>
    <w:rsid w:val="002F1346"/>
    <w:rsid w:val="002F1811"/>
    <w:rsid w:val="002F2677"/>
    <w:rsid w:val="002F423F"/>
    <w:rsid w:val="002F4734"/>
    <w:rsid w:val="002F59AF"/>
    <w:rsid w:val="002F5B72"/>
    <w:rsid w:val="002F7C57"/>
    <w:rsid w:val="0030022E"/>
    <w:rsid w:val="00300F94"/>
    <w:rsid w:val="0030108E"/>
    <w:rsid w:val="00301595"/>
    <w:rsid w:val="0030198C"/>
    <w:rsid w:val="00302341"/>
    <w:rsid w:val="00303461"/>
    <w:rsid w:val="00303D9E"/>
    <w:rsid w:val="00306C96"/>
    <w:rsid w:val="0030734A"/>
    <w:rsid w:val="003102AC"/>
    <w:rsid w:val="003108A2"/>
    <w:rsid w:val="003109F4"/>
    <w:rsid w:val="00310E69"/>
    <w:rsid w:val="00311CA7"/>
    <w:rsid w:val="00312E5D"/>
    <w:rsid w:val="00314503"/>
    <w:rsid w:val="00315388"/>
    <w:rsid w:val="00316DE6"/>
    <w:rsid w:val="00316E44"/>
    <w:rsid w:val="00321B69"/>
    <w:rsid w:val="00326F4D"/>
    <w:rsid w:val="00327EE0"/>
    <w:rsid w:val="003312A8"/>
    <w:rsid w:val="00331A99"/>
    <w:rsid w:val="003320BC"/>
    <w:rsid w:val="00332B6B"/>
    <w:rsid w:val="00332FB5"/>
    <w:rsid w:val="00333E2E"/>
    <w:rsid w:val="00334BAF"/>
    <w:rsid w:val="0033535F"/>
    <w:rsid w:val="00335660"/>
    <w:rsid w:val="00336684"/>
    <w:rsid w:val="00336BF8"/>
    <w:rsid w:val="00337247"/>
    <w:rsid w:val="00337CFE"/>
    <w:rsid w:val="0034073F"/>
    <w:rsid w:val="003437D9"/>
    <w:rsid w:val="00345496"/>
    <w:rsid w:val="00345ECD"/>
    <w:rsid w:val="00345FF8"/>
    <w:rsid w:val="0034631C"/>
    <w:rsid w:val="00347359"/>
    <w:rsid w:val="00347752"/>
    <w:rsid w:val="00350382"/>
    <w:rsid w:val="0035151C"/>
    <w:rsid w:val="00351547"/>
    <w:rsid w:val="00351ADB"/>
    <w:rsid w:val="0035207D"/>
    <w:rsid w:val="00353075"/>
    <w:rsid w:val="00357232"/>
    <w:rsid w:val="00357AFF"/>
    <w:rsid w:val="003613C3"/>
    <w:rsid w:val="003625DE"/>
    <w:rsid w:val="00363ECC"/>
    <w:rsid w:val="003641E1"/>
    <w:rsid w:val="00364E38"/>
    <w:rsid w:val="00365030"/>
    <w:rsid w:val="003651F5"/>
    <w:rsid w:val="0036709B"/>
    <w:rsid w:val="0037041B"/>
    <w:rsid w:val="003709E0"/>
    <w:rsid w:val="00370A0F"/>
    <w:rsid w:val="003710E2"/>
    <w:rsid w:val="00372EF3"/>
    <w:rsid w:val="003745E2"/>
    <w:rsid w:val="00374D7A"/>
    <w:rsid w:val="00375BCB"/>
    <w:rsid w:val="00376827"/>
    <w:rsid w:val="0037685A"/>
    <w:rsid w:val="00376A11"/>
    <w:rsid w:val="00377411"/>
    <w:rsid w:val="00377B66"/>
    <w:rsid w:val="00380611"/>
    <w:rsid w:val="00381CF4"/>
    <w:rsid w:val="00381E4A"/>
    <w:rsid w:val="00382731"/>
    <w:rsid w:val="00383C3C"/>
    <w:rsid w:val="00384A68"/>
    <w:rsid w:val="00384B26"/>
    <w:rsid w:val="00385705"/>
    <w:rsid w:val="00385915"/>
    <w:rsid w:val="00386F1F"/>
    <w:rsid w:val="0038746C"/>
    <w:rsid w:val="00391C42"/>
    <w:rsid w:val="00391D84"/>
    <w:rsid w:val="00391F97"/>
    <w:rsid w:val="0039332B"/>
    <w:rsid w:val="0039344B"/>
    <w:rsid w:val="00393585"/>
    <w:rsid w:val="00394943"/>
    <w:rsid w:val="00394AB5"/>
    <w:rsid w:val="00395785"/>
    <w:rsid w:val="00396045"/>
    <w:rsid w:val="00396D19"/>
    <w:rsid w:val="00396DD6"/>
    <w:rsid w:val="003A093D"/>
    <w:rsid w:val="003A0D93"/>
    <w:rsid w:val="003A0DE7"/>
    <w:rsid w:val="003A124A"/>
    <w:rsid w:val="003A12B8"/>
    <w:rsid w:val="003A1A2E"/>
    <w:rsid w:val="003A333C"/>
    <w:rsid w:val="003A48AE"/>
    <w:rsid w:val="003A5124"/>
    <w:rsid w:val="003A5665"/>
    <w:rsid w:val="003A5994"/>
    <w:rsid w:val="003A5A2C"/>
    <w:rsid w:val="003A5E4A"/>
    <w:rsid w:val="003A7584"/>
    <w:rsid w:val="003A7CAE"/>
    <w:rsid w:val="003A7FCF"/>
    <w:rsid w:val="003B059E"/>
    <w:rsid w:val="003B08FB"/>
    <w:rsid w:val="003B199E"/>
    <w:rsid w:val="003B1AD3"/>
    <w:rsid w:val="003B32F9"/>
    <w:rsid w:val="003B55F2"/>
    <w:rsid w:val="003B6D94"/>
    <w:rsid w:val="003B7082"/>
    <w:rsid w:val="003B7E82"/>
    <w:rsid w:val="003C001E"/>
    <w:rsid w:val="003C142C"/>
    <w:rsid w:val="003C1DDB"/>
    <w:rsid w:val="003C22B7"/>
    <w:rsid w:val="003C361B"/>
    <w:rsid w:val="003C3F44"/>
    <w:rsid w:val="003C4EE3"/>
    <w:rsid w:val="003C6504"/>
    <w:rsid w:val="003C70EA"/>
    <w:rsid w:val="003C7B4C"/>
    <w:rsid w:val="003D05A4"/>
    <w:rsid w:val="003D26C1"/>
    <w:rsid w:val="003D2B7A"/>
    <w:rsid w:val="003D35C2"/>
    <w:rsid w:val="003D3EA5"/>
    <w:rsid w:val="003D46DE"/>
    <w:rsid w:val="003D54F1"/>
    <w:rsid w:val="003D678E"/>
    <w:rsid w:val="003D7697"/>
    <w:rsid w:val="003D7F91"/>
    <w:rsid w:val="003D7FE6"/>
    <w:rsid w:val="003E02F5"/>
    <w:rsid w:val="003E0E78"/>
    <w:rsid w:val="003E20D5"/>
    <w:rsid w:val="003E2F84"/>
    <w:rsid w:val="003E3F30"/>
    <w:rsid w:val="003E3F5E"/>
    <w:rsid w:val="003E4281"/>
    <w:rsid w:val="003E5BF2"/>
    <w:rsid w:val="003E76BF"/>
    <w:rsid w:val="003E77B3"/>
    <w:rsid w:val="003F0704"/>
    <w:rsid w:val="003F0DB9"/>
    <w:rsid w:val="003F1BED"/>
    <w:rsid w:val="003F2373"/>
    <w:rsid w:val="003F2AA2"/>
    <w:rsid w:val="003F3722"/>
    <w:rsid w:val="003F3E97"/>
    <w:rsid w:val="003F3FA0"/>
    <w:rsid w:val="003F4483"/>
    <w:rsid w:val="003F553C"/>
    <w:rsid w:val="003F5CD5"/>
    <w:rsid w:val="003F5E7B"/>
    <w:rsid w:val="003F60E0"/>
    <w:rsid w:val="003F753E"/>
    <w:rsid w:val="003F7829"/>
    <w:rsid w:val="003F7C1D"/>
    <w:rsid w:val="004000DE"/>
    <w:rsid w:val="004021D5"/>
    <w:rsid w:val="004026BE"/>
    <w:rsid w:val="00402FD5"/>
    <w:rsid w:val="004039EF"/>
    <w:rsid w:val="00403CFA"/>
    <w:rsid w:val="00404EC0"/>
    <w:rsid w:val="004058FE"/>
    <w:rsid w:val="00405AFF"/>
    <w:rsid w:val="004062AC"/>
    <w:rsid w:val="00407420"/>
    <w:rsid w:val="0040786C"/>
    <w:rsid w:val="004105FF"/>
    <w:rsid w:val="00412459"/>
    <w:rsid w:val="00412C21"/>
    <w:rsid w:val="004133C8"/>
    <w:rsid w:val="004158AD"/>
    <w:rsid w:val="004160E0"/>
    <w:rsid w:val="0041753C"/>
    <w:rsid w:val="00421E92"/>
    <w:rsid w:val="00422638"/>
    <w:rsid w:val="00422BB3"/>
    <w:rsid w:val="004254E9"/>
    <w:rsid w:val="00425F9C"/>
    <w:rsid w:val="004267B6"/>
    <w:rsid w:val="00426A39"/>
    <w:rsid w:val="004273EA"/>
    <w:rsid w:val="004315C3"/>
    <w:rsid w:val="00432ABA"/>
    <w:rsid w:val="00432FF9"/>
    <w:rsid w:val="00433D78"/>
    <w:rsid w:val="00434DAE"/>
    <w:rsid w:val="00436BD5"/>
    <w:rsid w:val="0043716F"/>
    <w:rsid w:val="00440F62"/>
    <w:rsid w:val="004416B8"/>
    <w:rsid w:val="0044178C"/>
    <w:rsid w:val="00441A0D"/>
    <w:rsid w:val="004423A6"/>
    <w:rsid w:val="00443010"/>
    <w:rsid w:val="00443116"/>
    <w:rsid w:val="00443455"/>
    <w:rsid w:val="00445114"/>
    <w:rsid w:val="0044566A"/>
    <w:rsid w:val="00445A78"/>
    <w:rsid w:val="00445E0B"/>
    <w:rsid w:val="0044633E"/>
    <w:rsid w:val="00447327"/>
    <w:rsid w:val="00450FB2"/>
    <w:rsid w:val="00451341"/>
    <w:rsid w:val="00452CDB"/>
    <w:rsid w:val="00453195"/>
    <w:rsid w:val="00454947"/>
    <w:rsid w:val="00455AA5"/>
    <w:rsid w:val="004574D3"/>
    <w:rsid w:val="00457ACB"/>
    <w:rsid w:val="00460B1F"/>
    <w:rsid w:val="00460E50"/>
    <w:rsid w:val="00460E6E"/>
    <w:rsid w:val="00461144"/>
    <w:rsid w:val="004614A0"/>
    <w:rsid w:val="0046169D"/>
    <w:rsid w:val="0046188D"/>
    <w:rsid w:val="00461C10"/>
    <w:rsid w:val="0046257B"/>
    <w:rsid w:val="00462899"/>
    <w:rsid w:val="004630B3"/>
    <w:rsid w:val="0046459B"/>
    <w:rsid w:val="0046470F"/>
    <w:rsid w:val="004654F3"/>
    <w:rsid w:val="00465D82"/>
    <w:rsid w:val="004666B4"/>
    <w:rsid w:val="00466A47"/>
    <w:rsid w:val="00467852"/>
    <w:rsid w:val="0047043D"/>
    <w:rsid w:val="00470661"/>
    <w:rsid w:val="00471F5F"/>
    <w:rsid w:val="00472126"/>
    <w:rsid w:val="0047460B"/>
    <w:rsid w:val="00474C99"/>
    <w:rsid w:val="00475B62"/>
    <w:rsid w:val="0047640C"/>
    <w:rsid w:val="0047747F"/>
    <w:rsid w:val="004777E0"/>
    <w:rsid w:val="0048067C"/>
    <w:rsid w:val="00480BB3"/>
    <w:rsid w:val="00481453"/>
    <w:rsid w:val="0048168E"/>
    <w:rsid w:val="00482EA4"/>
    <w:rsid w:val="00483A99"/>
    <w:rsid w:val="0048592B"/>
    <w:rsid w:val="004859B3"/>
    <w:rsid w:val="004861D7"/>
    <w:rsid w:val="00486D1E"/>
    <w:rsid w:val="004876B0"/>
    <w:rsid w:val="00491084"/>
    <w:rsid w:val="00492072"/>
    <w:rsid w:val="00493771"/>
    <w:rsid w:val="00494645"/>
    <w:rsid w:val="0049482C"/>
    <w:rsid w:val="00494F79"/>
    <w:rsid w:val="004951BE"/>
    <w:rsid w:val="00496E02"/>
    <w:rsid w:val="004971E1"/>
    <w:rsid w:val="0049790F"/>
    <w:rsid w:val="00497ACE"/>
    <w:rsid w:val="00497DF8"/>
    <w:rsid w:val="004A1380"/>
    <w:rsid w:val="004A2FDD"/>
    <w:rsid w:val="004A3368"/>
    <w:rsid w:val="004A3C67"/>
    <w:rsid w:val="004A3E63"/>
    <w:rsid w:val="004A5627"/>
    <w:rsid w:val="004A599E"/>
    <w:rsid w:val="004A6B83"/>
    <w:rsid w:val="004A7F9D"/>
    <w:rsid w:val="004B01CE"/>
    <w:rsid w:val="004B053F"/>
    <w:rsid w:val="004B127A"/>
    <w:rsid w:val="004B1646"/>
    <w:rsid w:val="004B1B14"/>
    <w:rsid w:val="004B1D42"/>
    <w:rsid w:val="004B21E3"/>
    <w:rsid w:val="004B2E74"/>
    <w:rsid w:val="004B32A2"/>
    <w:rsid w:val="004B3F67"/>
    <w:rsid w:val="004B45B5"/>
    <w:rsid w:val="004B5280"/>
    <w:rsid w:val="004B593F"/>
    <w:rsid w:val="004B5A89"/>
    <w:rsid w:val="004B5D18"/>
    <w:rsid w:val="004B64BA"/>
    <w:rsid w:val="004B6FF6"/>
    <w:rsid w:val="004B77DC"/>
    <w:rsid w:val="004B7816"/>
    <w:rsid w:val="004B7ED4"/>
    <w:rsid w:val="004C13C7"/>
    <w:rsid w:val="004C14B9"/>
    <w:rsid w:val="004C23FC"/>
    <w:rsid w:val="004C27F7"/>
    <w:rsid w:val="004C2F25"/>
    <w:rsid w:val="004C335E"/>
    <w:rsid w:val="004C4422"/>
    <w:rsid w:val="004C5151"/>
    <w:rsid w:val="004C5C8A"/>
    <w:rsid w:val="004C5E7B"/>
    <w:rsid w:val="004C6068"/>
    <w:rsid w:val="004C7259"/>
    <w:rsid w:val="004D0D03"/>
    <w:rsid w:val="004D1276"/>
    <w:rsid w:val="004D14DD"/>
    <w:rsid w:val="004D347F"/>
    <w:rsid w:val="004D4646"/>
    <w:rsid w:val="004D742D"/>
    <w:rsid w:val="004D7DAD"/>
    <w:rsid w:val="004E02BB"/>
    <w:rsid w:val="004E0DE7"/>
    <w:rsid w:val="004E1E5E"/>
    <w:rsid w:val="004E2299"/>
    <w:rsid w:val="004E531C"/>
    <w:rsid w:val="004E6181"/>
    <w:rsid w:val="004E672A"/>
    <w:rsid w:val="004E686C"/>
    <w:rsid w:val="004E706E"/>
    <w:rsid w:val="004E7A68"/>
    <w:rsid w:val="004F0CA1"/>
    <w:rsid w:val="004F1691"/>
    <w:rsid w:val="004F1DD2"/>
    <w:rsid w:val="004F48A7"/>
    <w:rsid w:val="004F5505"/>
    <w:rsid w:val="004F59B8"/>
    <w:rsid w:val="004F6E30"/>
    <w:rsid w:val="004F6F78"/>
    <w:rsid w:val="004F7E3A"/>
    <w:rsid w:val="004F7FA2"/>
    <w:rsid w:val="0050050C"/>
    <w:rsid w:val="00500FA7"/>
    <w:rsid w:val="00501B18"/>
    <w:rsid w:val="00501B2C"/>
    <w:rsid w:val="00501CB9"/>
    <w:rsid w:val="00501F5C"/>
    <w:rsid w:val="00502242"/>
    <w:rsid w:val="00503ECE"/>
    <w:rsid w:val="00504B1F"/>
    <w:rsid w:val="00504D5F"/>
    <w:rsid w:val="0050510A"/>
    <w:rsid w:val="00505116"/>
    <w:rsid w:val="005051ED"/>
    <w:rsid w:val="00506033"/>
    <w:rsid w:val="005061FC"/>
    <w:rsid w:val="005070C2"/>
    <w:rsid w:val="0050721F"/>
    <w:rsid w:val="00507402"/>
    <w:rsid w:val="00507A7C"/>
    <w:rsid w:val="00511092"/>
    <w:rsid w:val="0051153C"/>
    <w:rsid w:val="00511564"/>
    <w:rsid w:val="00511782"/>
    <w:rsid w:val="00512464"/>
    <w:rsid w:val="0051265B"/>
    <w:rsid w:val="00512C2B"/>
    <w:rsid w:val="005151C6"/>
    <w:rsid w:val="0051588D"/>
    <w:rsid w:val="005158B4"/>
    <w:rsid w:val="00515FA9"/>
    <w:rsid w:val="00517BEC"/>
    <w:rsid w:val="00520409"/>
    <w:rsid w:val="00521CD3"/>
    <w:rsid w:val="005227EB"/>
    <w:rsid w:val="00522FCC"/>
    <w:rsid w:val="005239E8"/>
    <w:rsid w:val="00523C00"/>
    <w:rsid w:val="00523EBA"/>
    <w:rsid w:val="005242CC"/>
    <w:rsid w:val="0052540E"/>
    <w:rsid w:val="00526115"/>
    <w:rsid w:val="00526C03"/>
    <w:rsid w:val="005273D7"/>
    <w:rsid w:val="00527CE3"/>
    <w:rsid w:val="00530378"/>
    <w:rsid w:val="005304FB"/>
    <w:rsid w:val="00533300"/>
    <w:rsid w:val="00534517"/>
    <w:rsid w:val="005349FD"/>
    <w:rsid w:val="00534E2F"/>
    <w:rsid w:val="00535152"/>
    <w:rsid w:val="0053531B"/>
    <w:rsid w:val="005354E3"/>
    <w:rsid w:val="00535AFF"/>
    <w:rsid w:val="00535F43"/>
    <w:rsid w:val="00536A3B"/>
    <w:rsid w:val="005374A7"/>
    <w:rsid w:val="00537880"/>
    <w:rsid w:val="00537E36"/>
    <w:rsid w:val="005413D6"/>
    <w:rsid w:val="0054375D"/>
    <w:rsid w:val="005439FA"/>
    <w:rsid w:val="00543BAB"/>
    <w:rsid w:val="005440DB"/>
    <w:rsid w:val="00544306"/>
    <w:rsid w:val="00544AEE"/>
    <w:rsid w:val="00545A95"/>
    <w:rsid w:val="00546D2B"/>
    <w:rsid w:val="00547A45"/>
    <w:rsid w:val="0055063C"/>
    <w:rsid w:val="0055446D"/>
    <w:rsid w:val="00554EE5"/>
    <w:rsid w:val="00555682"/>
    <w:rsid w:val="00555AF6"/>
    <w:rsid w:val="00555D5D"/>
    <w:rsid w:val="00555FC1"/>
    <w:rsid w:val="00556AD8"/>
    <w:rsid w:val="00556D0F"/>
    <w:rsid w:val="0056021E"/>
    <w:rsid w:val="005608EB"/>
    <w:rsid w:val="00561ED7"/>
    <w:rsid w:val="005621C7"/>
    <w:rsid w:val="00562435"/>
    <w:rsid w:val="00562BF6"/>
    <w:rsid w:val="00564100"/>
    <w:rsid w:val="00564E1D"/>
    <w:rsid w:val="00565536"/>
    <w:rsid w:val="00567123"/>
    <w:rsid w:val="00567D51"/>
    <w:rsid w:val="00570DC1"/>
    <w:rsid w:val="00571036"/>
    <w:rsid w:val="0057169A"/>
    <w:rsid w:val="00571735"/>
    <w:rsid w:val="00571C68"/>
    <w:rsid w:val="00571DA0"/>
    <w:rsid w:val="00572189"/>
    <w:rsid w:val="005722F6"/>
    <w:rsid w:val="00573524"/>
    <w:rsid w:val="00573FBB"/>
    <w:rsid w:val="00575196"/>
    <w:rsid w:val="005751F8"/>
    <w:rsid w:val="0057787E"/>
    <w:rsid w:val="0058101D"/>
    <w:rsid w:val="00582495"/>
    <w:rsid w:val="005845D1"/>
    <w:rsid w:val="00584646"/>
    <w:rsid w:val="005852DA"/>
    <w:rsid w:val="005856CA"/>
    <w:rsid w:val="00587A51"/>
    <w:rsid w:val="00590412"/>
    <w:rsid w:val="00591D9B"/>
    <w:rsid w:val="005928FA"/>
    <w:rsid w:val="00593127"/>
    <w:rsid w:val="005934E8"/>
    <w:rsid w:val="00594C2D"/>
    <w:rsid w:val="00594E1A"/>
    <w:rsid w:val="00595B89"/>
    <w:rsid w:val="005966BB"/>
    <w:rsid w:val="00597F03"/>
    <w:rsid w:val="005A0242"/>
    <w:rsid w:val="005A0F5B"/>
    <w:rsid w:val="005A113C"/>
    <w:rsid w:val="005A127F"/>
    <w:rsid w:val="005A174C"/>
    <w:rsid w:val="005A1B9F"/>
    <w:rsid w:val="005A27C0"/>
    <w:rsid w:val="005A2B3D"/>
    <w:rsid w:val="005A3821"/>
    <w:rsid w:val="005A5B50"/>
    <w:rsid w:val="005A5F53"/>
    <w:rsid w:val="005A6BF6"/>
    <w:rsid w:val="005B0016"/>
    <w:rsid w:val="005B0856"/>
    <w:rsid w:val="005B106A"/>
    <w:rsid w:val="005B1712"/>
    <w:rsid w:val="005B2030"/>
    <w:rsid w:val="005B21FF"/>
    <w:rsid w:val="005B37F2"/>
    <w:rsid w:val="005B6301"/>
    <w:rsid w:val="005B6330"/>
    <w:rsid w:val="005C104F"/>
    <w:rsid w:val="005C35D4"/>
    <w:rsid w:val="005C62E7"/>
    <w:rsid w:val="005C6892"/>
    <w:rsid w:val="005C7B68"/>
    <w:rsid w:val="005D4BCA"/>
    <w:rsid w:val="005D4FDA"/>
    <w:rsid w:val="005D53E4"/>
    <w:rsid w:val="005D5B45"/>
    <w:rsid w:val="005D63BC"/>
    <w:rsid w:val="005D71F7"/>
    <w:rsid w:val="005D7541"/>
    <w:rsid w:val="005E0193"/>
    <w:rsid w:val="005E0CBD"/>
    <w:rsid w:val="005E1257"/>
    <w:rsid w:val="005E154D"/>
    <w:rsid w:val="005E34D9"/>
    <w:rsid w:val="005E3D1E"/>
    <w:rsid w:val="005E3E59"/>
    <w:rsid w:val="005E4D46"/>
    <w:rsid w:val="005E5059"/>
    <w:rsid w:val="005E543A"/>
    <w:rsid w:val="005E57E4"/>
    <w:rsid w:val="005F1549"/>
    <w:rsid w:val="005F17C4"/>
    <w:rsid w:val="005F1A46"/>
    <w:rsid w:val="005F2189"/>
    <w:rsid w:val="005F2C1B"/>
    <w:rsid w:val="005F33EB"/>
    <w:rsid w:val="005F3E32"/>
    <w:rsid w:val="005F3F27"/>
    <w:rsid w:val="005F55EC"/>
    <w:rsid w:val="005F56CC"/>
    <w:rsid w:val="005F60CB"/>
    <w:rsid w:val="005F6511"/>
    <w:rsid w:val="005F67C2"/>
    <w:rsid w:val="005F7545"/>
    <w:rsid w:val="00600FA6"/>
    <w:rsid w:val="006011C9"/>
    <w:rsid w:val="00601242"/>
    <w:rsid w:val="0060174C"/>
    <w:rsid w:val="006019EA"/>
    <w:rsid w:val="00603B0B"/>
    <w:rsid w:val="00604E7C"/>
    <w:rsid w:val="006054EB"/>
    <w:rsid w:val="00605953"/>
    <w:rsid w:val="00605D6D"/>
    <w:rsid w:val="006061C6"/>
    <w:rsid w:val="006061F1"/>
    <w:rsid w:val="0060754D"/>
    <w:rsid w:val="00607A5F"/>
    <w:rsid w:val="00611C16"/>
    <w:rsid w:val="006121C6"/>
    <w:rsid w:val="00612B20"/>
    <w:rsid w:val="00612CF7"/>
    <w:rsid w:val="00613473"/>
    <w:rsid w:val="006137E4"/>
    <w:rsid w:val="006147CB"/>
    <w:rsid w:val="0061540F"/>
    <w:rsid w:val="00615FC9"/>
    <w:rsid w:val="0061711A"/>
    <w:rsid w:val="006174C0"/>
    <w:rsid w:val="00617BDD"/>
    <w:rsid w:val="00617C42"/>
    <w:rsid w:val="00617F06"/>
    <w:rsid w:val="00621103"/>
    <w:rsid w:val="00621505"/>
    <w:rsid w:val="006217C3"/>
    <w:rsid w:val="00622813"/>
    <w:rsid w:val="00622C98"/>
    <w:rsid w:val="0062338A"/>
    <w:rsid w:val="006240EE"/>
    <w:rsid w:val="00624CDF"/>
    <w:rsid w:val="00624EF7"/>
    <w:rsid w:val="006265DF"/>
    <w:rsid w:val="0062661E"/>
    <w:rsid w:val="00627875"/>
    <w:rsid w:val="00630404"/>
    <w:rsid w:val="00630660"/>
    <w:rsid w:val="00630CDF"/>
    <w:rsid w:val="00630EFA"/>
    <w:rsid w:val="006318EF"/>
    <w:rsid w:val="00632CA6"/>
    <w:rsid w:val="00634451"/>
    <w:rsid w:val="006346DA"/>
    <w:rsid w:val="006346F6"/>
    <w:rsid w:val="00634E44"/>
    <w:rsid w:val="00634E5B"/>
    <w:rsid w:val="006352EA"/>
    <w:rsid w:val="006366B9"/>
    <w:rsid w:val="00637CBD"/>
    <w:rsid w:val="00637E71"/>
    <w:rsid w:val="00637F27"/>
    <w:rsid w:val="00637FB5"/>
    <w:rsid w:val="0064087F"/>
    <w:rsid w:val="00640F6F"/>
    <w:rsid w:val="00641991"/>
    <w:rsid w:val="00642AF6"/>
    <w:rsid w:val="00643F94"/>
    <w:rsid w:val="00644152"/>
    <w:rsid w:val="00644515"/>
    <w:rsid w:val="0064514B"/>
    <w:rsid w:val="0064589D"/>
    <w:rsid w:val="00645C88"/>
    <w:rsid w:val="006463E5"/>
    <w:rsid w:val="006464E0"/>
    <w:rsid w:val="006467C6"/>
    <w:rsid w:val="006469D6"/>
    <w:rsid w:val="0064709B"/>
    <w:rsid w:val="006472FA"/>
    <w:rsid w:val="00651236"/>
    <w:rsid w:val="00651B82"/>
    <w:rsid w:val="00652A85"/>
    <w:rsid w:val="00652C82"/>
    <w:rsid w:val="00652D23"/>
    <w:rsid w:val="00653ED4"/>
    <w:rsid w:val="00655277"/>
    <w:rsid w:val="00655320"/>
    <w:rsid w:val="006562DD"/>
    <w:rsid w:val="006571F1"/>
    <w:rsid w:val="0065754E"/>
    <w:rsid w:val="00657D68"/>
    <w:rsid w:val="0066460C"/>
    <w:rsid w:val="006659B1"/>
    <w:rsid w:val="00667BB6"/>
    <w:rsid w:val="00670240"/>
    <w:rsid w:val="006703CD"/>
    <w:rsid w:val="00670A27"/>
    <w:rsid w:val="006712E8"/>
    <w:rsid w:val="006721B5"/>
    <w:rsid w:val="0067224A"/>
    <w:rsid w:val="006727B6"/>
    <w:rsid w:val="00672A63"/>
    <w:rsid w:val="00673CE1"/>
    <w:rsid w:val="0067457C"/>
    <w:rsid w:val="006757D4"/>
    <w:rsid w:val="00675927"/>
    <w:rsid w:val="0067704D"/>
    <w:rsid w:val="006775FB"/>
    <w:rsid w:val="00677AEF"/>
    <w:rsid w:val="00677EC4"/>
    <w:rsid w:val="00683840"/>
    <w:rsid w:val="00683B00"/>
    <w:rsid w:val="0068411F"/>
    <w:rsid w:val="0068789A"/>
    <w:rsid w:val="00687DA3"/>
    <w:rsid w:val="00690295"/>
    <w:rsid w:val="006905E1"/>
    <w:rsid w:val="006914B1"/>
    <w:rsid w:val="00691525"/>
    <w:rsid w:val="006929CD"/>
    <w:rsid w:val="00692C7F"/>
    <w:rsid w:val="006948AD"/>
    <w:rsid w:val="0069590F"/>
    <w:rsid w:val="006966B8"/>
    <w:rsid w:val="006969A2"/>
    <w:rsid w:val="0069771A"/>
    <w:rsid w:val="006A275F"/>
    <w:rsid w:val="006A2A9E"/>
    <w:rsid w:val="006A31FC"/>
    <w:rsid w:val="006A5B52"/>
    <w:rsid w:val="006A5D96"/>
    <w:rsid w:val="006A66A6"/>
    <w:rsid w:val="006A7BA9"/>
    <w:rsid w:val="006B00BB"/>
    <w:rsid w:val="006B031E"/>
    <w:rsid w:val="006B1106"/>
    <w:rsid w:val="006B1A51"/>
    <w:rsid w:val="006B2768"/>
    <w:rsid w:val="006B27A0"/>
    <w:rsid w:val="006B60BC"/>
    <w:rsid w:val="006B627D"/>
    <w:rsid w:val="006B6AA6"/>
    <w:rsid w:val="006B6C5A"/>
    <w:rsid w:val="006B6E37"/>
    <w:rsid w:val="006B73FB"/>
    <w:rsid w:val="006C29ED"/>
    <w:rsid w:val="006C2B46"/>
    <w:rsid w:val="006C340D"/>
    <w:rsid w:val="006C3684"/>
    <w:rsid w:val="006C4112"/>
    <w:rsid w:val="006C4424"/>
    <w:rsid w:val="006C5FBD"/>
    <w:rsid w:val="006C61FB"/>
    <w:rsid w:val="006C63F7"/>
    <w:rsid w:val="006C764D"/>
    <w:rsid w:val="006D024D"/>
    <w:rsid w:val="006D12CC"/>
    <w:rsid w:val="006D1B07"/>
    <w:rsid w:val="006D1B0A"/>
    <w:rsid w:val="006D319F"/>
    <w:rsid w:val="006D3BDF"/>
    <w:rsid w:val="006D3E66"/>
    <w:rsid w:val="006D3F08"/>
    <w:rsid w:val="006D43F3"/>
    <w:rsid w:val="006D4498"/>
    <w:rsid w:val="006D74CE"/>
    <w:rsid w:val="006D7BC9"/>
    <w:rsid w:val="006D7FAC"/>
    <w:rsid w:val="006E05F9"/>
    <w:rsid w:val="006E0792"/>
    <w:rsid w:val="006E092E"/>
    <w:rsid w:val="006E0998"/>
    <w:rsid w:val="006E21BF"/>
    <w:rsid w:val="006E2383"/>
    <w:rsid w:val="006E2CFB"/>
    <w:rsid w:val="006E4B4D"/>
    <w:rsid w:val="006E5294"/>
    <w:rsid w:val="006E551E"/>
    <w:rsid w:val="006E5B4B"/>
    <w:rsid w:val="006E6BEB"/>
    <w:rsid w:val="006E71C8"/>
    <w:rsid w:val="006F092C"/>
    <w:rsid w:val="006F189A"/>
    <w:rsid w:val="006F1FA4"/>
    <w:rsid w:val="006F2433"/>
    <w:rsid w:val="006F257D"/>
    <w:rsid w:val="006F34C4"/>
    <w:rsid w:val="006F3DC3"/>
    <w:rsid w:val="006F426F"/>
    <w:rsid w:val="006F4B7A"/>
    <w:rsid w:val="006F4EA4"/>
    <w:rsid w:val="006F599C"/>
    <w:rsid w:val="006F6295"/>
    <w:rsid w:val="006F739B"/>
    <w:rsid w:val="007006EB"/>
    <w:rsid w:val="00701E45"/>
    <w:rsid w:val="00702007"/>
    <w:rsid w:val="00702275"/>
    <w:rsid w:val="00703761"/>
    <w:rsid w:val="0070396A"/>
    <w:rsid w:val="0070442F"/>
    <w:rsid w:val="007051A1"/>
    <w:rsid w:val="0070547B"/>
    <w:rsid w:val="00705E51"/>
    <w:rsid w:val="00706EF5"/>
    <w:rsid w:val="0070797B"/>
    <w:rsid w:val="007122EE"/>
    <w:rsid w:val="007122F3"/>
    <w:rsid w:val="00712E79"/>
    <w:rsid w:val="00713AC6"/>
    <w:rsid w:val="00714055"/>
    <w:rsid w:val="007141F9"/>
    <w:rsid w:val="007151DC"/>
    <w:rsid w:val="007153D1"/>
    <w:rsid w:val="00715947"/>
    <w:rsid w:val="00715E84"/>
    <w:rsid w:val="00716F0A"/>
    <w:rsid w:val="007173C8"/>
    <w:rsid w:val="00717511"/>
    <w:rsid w:val="00720207"/>
    <w:rsid w:val="00720EF4"/>
    <w:rsid w:val="00721960"/>
    <w:rsid w:val="00722B7E"/>
    <w:rsid w:val="00723A7F"/>
    <w:rsid w:val="00724968"/>
    <w:rsid w:val="007249B5"/>
    <w:rsid w:val="00724D96"/>
    <w:rsid w:val="00725710"/>
    <w:rsid w:val="00727E60"/>
    <w:rsid w:val="0073011C"/>
    <w:rsid w:val="00732945"/>
    <w:rsid w:val="00732E57"/>
    <w:rsid w:val="007332DB"/>
    <w:rsid w:val="00733708"/>
    <w:rsid w:val="007363FF"/>
    <w:rsid w:val="00736664"/>
    <w:rsid w:val="0073716B"/>
    <w:rsid w:val="007404BC"/>
    <w:rsid w:val="00740896"/>
    <w:rsid w:val="00741964"/>
    <w:rsid w:val="00742E2D"/>
    <w:rsid w:val="007434E9"/>
    <w:rsid w:val="007439F0"/>
    <w:rsid w:val="007442B4"/>
    <w:rsid w:val="007447A4"/>
    <w:rsid w:val="007459BB"/>
    <w:rsid w:val="007459C5"/>
    <w:rsid w:val="007462A6"/>
    <w:rsid w:val="00746730"/>
    <w:rsid w:val="00746F61"/>
    <w:rsid w:val="007475DB"/>
    <w:rsid w:val="00750817"/>
    <w:rsid w:val="00750ACA"/>
    <w:rsid w:val="00751450"/>
    <w:rsid w:val="00751569"/>
    <w:rsid w:val="007515CD"/>
    <w:rsid w:val="00751E89"/>
    <w:rsid w:val="00752BE1"/>
    <w:rsid w:val="007535E6"/>
    <w:rsid w:val="007539A2"/>
    <w:rsid w:val="00753A3E"/>
    <w:rsid w:val="00753E34"/>
    <w:rsid w:val="00754C3E"/>
    <w:rsid w:val="00755587"/>
    <w:rsid w:val="00755767"/>
    <w:rsid w:val="00755C28"/>
    <w:rsid w:val="00756489"/>
    <w:rsid w:val="007565BE"/>
    <w:rsid w:val="0075665E"/>
    <w:rsid w:val="0076046D"/>
    <w:rsid w:val="00760657"/>
    <w:rsid w:val="00761281"/>
    <w:rsid w:val="00761386"/>
    <w:rsid w:val="00761566"/>
    <w:rsid w:val="00761BED"/>
    <w:rsid w:val="00762617"/>
    <w:rsid w:val="007633A2"/>
    <w:rsid w:val="0076453D"/>
    <w:rsid w:val="00765D3B"/>
    <w:rsid w:val="0076663A"/>
    <w:rsid w:val="00766C3D"/>
    <w:rsid w:val="0077058A"/>
    <w:rsid w:val="007718FB"/>
    <w:rsid w:val="00771B91"/>
    <w:rsid w:val="00771E11"/>
    <w:rsid w:val="00772AB9"/>
    <w:rsid w:val="00772FFB"/>
    <w:rsid w:val="007735E2"/>
    <w:rsid w:val="00773735"/>
    <w:rsid w:val="007744E2"/>
    <w:rsid w:val="00775EC3"/>
    <w:rsid w:val="00775F8B"/>
    <w:rsid w:val="00776AF9"/>
    <w:rsid w:val="00777407"/>
    <w:rsid w:val="00777714"/>
    <w:rsid w:val="007779CD"/>
    <w:rsid w:val="0078021A"/>
    <w:rsid w:val="0078126D"/>
    <w:rsid w:val="00781447"/>
    <w:rsid w:val="00781AC0"/>
    <w:rsid w:val="00782B97"/>
    <w:rsid w:val="007835AC"/>
    <w:rsid w:val="00783E65"/>
    <w:rsid w:val="00784304"/>
    <w:rsid w:val="007843EF"/>
    <w:rsid w:val="007867F7"/>
    <w:rsid w:val="00786908"/>
    <w:rsid w:val="00786EEB"/>
    <w:rsid w:val="0079204D"/>
    <w:rsid w:val="0079253B"/>
    <w:rsid w:val="00792B2A"/>
    <w:rsid w:val="00792C97"/>
    <w:rsid w:val="00792D27"/>
    <w:rsid w:val="00793AB8"/>
    <w:rsid w:val="00797575"/>
    <w:rsid w:val="00797DC5"/>
    <w:rsid w:val="00797DE2"/>
    <w:rsid w:val="007A01DF"/>
    <w:rsid w:val="007A0BAA"/>
    <w:rsid w:val="007A11FA"/>
    <w:rsid w:val="007A123C"/>
    <w:rsid w:val="007A34B2"/>
    <w:rsid w:val="007A38A7"/>
    <w:rsid w:val="007A3CD3"/>
    <w:rsid w:val="007A4C93"/>
    <w:rsid w:val="007A6A88"/>
    <w:rsid w:val="007A7383"/>
    <w:rsid w:val="007A7B53"/>
    <w:rsid w:val="007B0F10"/>
    <w:rsid w:val="007B175E"/>
    <w:rsid w:val="007B23AD"/>
    <w:rsid w:val="007B37F4"/>
    <w:rsid w:val="007B3CA9"/>
    <w:rsid w:val="007B49DD"/>
    <w:rsid w:val="007B54F0"/>
    <w:rsid w:val="007B553C"/>
    <w:rsid w:val="007B574F"/>
    <w:rsid w:val="007B64FC"/>
    <w:rsid w:val="007B747E"/>
    <w:rsid w:val="007B7EA8"/>
    <w:rsid w:val="007C0B99"/>
    <w:rsid w:val="007C2722"/>
    <w:rsid w:val="007C2B35"/>
    <w:rsid w:val="007C2F09"/>
    <w:rsid w:val="007C452E"/>
    <w:rsid w:val="007C48D8"/>
    <w:rsid w:val="007C49A2"/>
    <w:rsid w:val="007C4D44"/>
    <w:rsid w:val="007C532E"/>
    <w:rsid w:val="007C67D2"/>
    <w:rsid w:val="007C6C84"/>
    <w:rsid w:val="007D028F"/>
    <w:rsid w:val="007D0705"/>
    <w:rsid w:val="007D09BF"/>
    <w:rsid w:val="007D0AFB"/>
    <w:rsid w:val="007D0CD0"/>
    <w:rsid w:val="007D2444"/>
    <w:rsid w:val="007D3367"/>
    <w:rsid w:val="007D35B0"/>
    <w:rsid w:val="007D44DC"/>
    <w:rsid w:val="007D5E47"/>
    <w:rsid w:val="007D7704"/>
    <w:rsid w:val="007E02F5"/>
    <w:rsid w:val="007E265A"/>
    <w:rsid w:val="007E2EB5"/>
    <w:rsid w:val="007E312F"/>
    <w:rsid w:val="007E5452"/>
    <w:rsid w:val="007E5DE2"/>
    <w:rsid w:val="007E602F"/>
    <w:rsid w:val="007E64F4"/>
    <w:rsid w:val="007E6805"/>
    <w:rsid w:val="007E6D99"/>
    <w:rsid w:val="007E770B"/>
    <w:rsid w:val="007F06B0"/>
    <w:rsid w:val="007F0F2D"/>
    <w:rsid w:val="007F1776"/>
    <w:rsid w:val="007F236F"/>
    <w:rsid w:val="007F29DF"/>
    <w:rsid w:val="007F4968"/>
    <w:rsid w:val="007F49EF"/>
    <w:rsid w:val="007F4C99"/>
    <w:rsid w:val="007F4D00"/>
    <w:rsid w:val="007F64F7"/>
    <w:rsid w:val="007F7BAD"/>
    <w:rsid w:val="00800EBF"/>
    <w:rsid w:val="00801A2A"/>
    <w:rsid w:val="00801B56"/>
    <w:rsid w:val="008028CE"/>
    <w:rsid w:val="008032B6"/>
    <w:rsid w:val="00803718"/>
    <w:rsid w:val="00803BC4"/>
    <w:rsid w:val="008042BC"/>
    <w:rsid w:val="00805258"/>
    <w:rsid w:val="00806024"/>
    <w:rsid w:val="00806E35"/>
    <w:rsid w:val="008078C7"/>
    <w:rsid w:val="00807F7B"/>
    <w:rsid w:val="008107E9"/>
    <w:rsid w:val="00812FCF"/>
    <w:rsid w:val="00813356"/>
    <w:rsid w:val="00813B33"/>
    <w:rsid w:val="00814B77"/>
    <w:rsid w:val="008160C8"/>
    <w:rsid w:val="00816FFC"/>
    <w:rsid w:val="0082212F"/>
    <w:rsid w:val="0082228B"/>
    <w:rsid w:val="00822699"/>
    <w:rsid w:val="00822B18"/>
    <w:rsid w:val="00823391"/>
    <w:rsid w:val="00823573"/>
    <w:rsid w:val="00823C32"/>
    <w:rsid w:val="00825D66"/>
    <w:rsid w:val="008266F8"/>
    <w:rsid w:val="00826C44"/>
    <w:rsid w:val="008271E6"/>
    <w:rsid w:val="008279AF"/>
    <w:rsid w:val="00827BB8"/>
    <w:rsid w:val="008304E3"/>
    <w:rsid w:val="008318C6"/>
    <w:rsid w:val="0083241C"/>
    <w:rsid w:val="008327BB"/>
    <w:rsid w:val="008353C7"/>
    <w:rsid w:val="008359AF"/>
    <w:rsid w:val="00835B9C"/>
    <w:rsid w:val="00836ADA"/>
    <w:rsid w:val="00836BC6"/>
    <w:rsid w:val="00837984"/>
    <w:rsid w:val="00837E82"/>
    <w:rsid w:val="00841171"/>
    <w:rsid w:val="008422A1"/>
    <w:rsid w:val="00842884"/>
    <w:rsid w:val="00842CAF"/>
    <w:rsid w:val="00842DEE"/>
    <w:rsid w:val="00842FCB"/>
    <w:rsid w:val="00843164"/>
    <w:rsid w:val="00843277"/>
    <w:rsid w:val="00850AE9"/>
    <w:rsid w:val="00850BD3"/>
    <w:rsid w:val="00852236"/>
    <w:rsid w:val="00852EB8"/>
    <w:rsid w:val="008535DD"/>
    <w:rsid w:val="00854BCA"/>
    <w:rsid w:val="00854E07"/>
    <w:rsid w:val="00857AF8"/>
    <w:rsid w:val="00857F19"/>
    <w:rsid w:val="00860648"/>
    <w:rsid w:val="00860F36"/>
    <w:rsid w:val="008615C0"/>
    <w:rsid w:val="00861DE8"/>
    <w:rsid w:val="00864173"/>
    <w:rsid w:val="00864685"/>
    <w:rsid w:val="00864726"/>
    <w:rsid w:val="0086561F"/>
    <w:rsid w:val="00871C2B"/>
    <w:rsid w:val="00872887"/>
    <w:rsid w:val="00872B68"/>
    <w:rsid w:val="00874455"/>
    <w:rsid w:val="00874684"/>
    <w:rsid w:val="008747DD"/>
    <w:rsid w:val="008750E6"/>
    <w:rsid w:val="008757CA"/>
    <w:rsid w:val="00876E8B"/>
    <w:rsid w:val="00880566"/>
    <w:rsid w:val="0088146F"/>
    <w:rsid w:val="00881F66"/>
    <w:rsid w:val="00882140"/>
    <w:rsid w:val="00882309"/>
    <w:rsid w:val="00882314"/>
    <w:rsid w:val="00882B4D"/>
    <w:rsid w:val="008830AC"/>
    <w:rsid w:val="00883450"/>
    <w:rsid w:val="008866B2"/>
    <w:rsid w:val="008867F6"/>
    <w:rsid w:val="0088694C"/>
    <w:rsid w:val="00887BB9"/>
    <w:rsid w:val="00887FA3"/>
    <w:rsid w:val="008910A1"/>
    <w:rsid w:val="008912B8"/>
    <w:rsid w:val="008915E4"/>
    <w:rsid w:val="008918A0"/>
    <w:rsid w:val="008919AF"/>
    <w:rsid w:val="00892181"/>
    <w:rsid w:val="00893EB9"/>
    <w:rsid w:val="0089482D"/>
    <w:rsid w:val="00894953"/>
    <w:rsid w:val="00894977"/>
    <w:rsid w:val="00896236"/>
    <w:rsid w:val="00897068"/>
    <w:rsid w:val="008A0184"/>
    <w:rsid w:val="008A1911"/>
    <w:rsid w:val="008A3D50"/>
    <w:rsid w:val="008A6029"/>
    <w:rsid w:val="008A61F0"/>
    <w:rsid w:val="008A6284"/>
    <w:rsid w:val="008B0D93"/>
    <w:rsid w:val="008B1AD5"/>
    <w:rsid w:val="008B1D3D"/>
    <w:rsid w:val="008B1F41"/>
    <w:rsid w:val="008B224E"/>
    <w:rsid w:val="008B2EFD"/>
    <w:rsid w:val="008B390C"/>
    <w:rsid w:val="008B418A"/>
    <w:rsid w:val="008B6241"/>
    <w:rsid w:val="008B6D4D"/>
    <w:rsid w:val="008B7663"/>
    <w:rsid w:val="008B7761"/>
    <w:rsid w:val="008C017E"/>
    <w:rsid w:val="008C0688"/>
    <w:rsid w:val="008C1407"/>
    <w:rsid w:val="008C18A1"/>
    <w:rsid w:val="008C1B9C"/>
    <w:rsid w:val="008C267B"/>
    <w:rsid w:val="008C2A02"/>
    <w:rsid w:val="008C33F5"/>
    <w:rsid w:val="008C352A"/>
    <w:rsid w:val="008C484D"/>
    <w:rsid w:val="008C4E14"/>
    <w:rsid w:val="008C5473"/>
    <w:rsid w:val="008C65F5"/>
    <w:rsid w:val="008C713B"/>
    <w:rsid w:val="008C7360"/>
    <w:rsid w:val="008D0AD7"/>
    <w:rsid w:val="008D0DEE"/>
    <w:rsid w:val="008D101F"/>
    <w:rsid w:val="008D2444"/>
    <w:rsid w:val="008D2A51"/>
    <w:rsid w:val="008D35BA"/>
    <w:rsid w:val="008D413D"/>
    <w:rsid w:val="008D5680"/>
    <w:rsid w:val="008D6F21"/>
    <w:rsid w:val="008D7078"/>
    <w:rsid w:val="008D78CB"/>
    <w:rsid w:val="008D7F01"/>
    <w:rsid w:val="008E056B"/>
    <w:rsid w:val="008E06BF"/>
    <w:rsid w:val="008E12F7"/>
    <w:rsid w:val="008E2AC8"/>
    <w:rsid w:val="008E3835"/>
    <w:rsid w:val="008E5961"/>
    <w:rsid w:val="008E5AFC"/>
    <w:rsid w:val="008E5D85"/>
    <w:rsid w:val="008E60DD"/>
    <w:rsid w:val="008E698B"/>
    <w:rsid w:val="008F0A53"/>
    <w:rsid w:val="008F14C4"/>
    <w:rsid w:val="008F4258"/>
    <w:rsid w:val="008F4B22"/>
    <w:rsid w:val="008F6BAA"/>
    <w:rsid w:val="008F7B48"/>
    <w:rsid w:val="00905779"/>
    <w:rsid w:val="0090588F"/>
    <w:rsid w:val="00905994"/>
    <w:rsid w:val="00905E61"/>
    <w:rsid w:val="0090769D"/>
    <w:rsid w:val="009078F2"/>
    <w:rsid w:val="00910BA5"/>
    <w:rsid w:val="00910CA1"/>
    <w:rsid w:val="00911218"/>
    <w:rsid w:val="00912E12"/>
    <w:rsid w:val="009131C3"/>
    <w:rsid w:val="00913F6E"/>
    <w:rsid w:val="0091440F"/>
    <w:rsid w:val="00914E13"/>
    <w:rsid w:val="00915044"/>
    <w:rsid w:val="009152BB"/>
    <w:rsid w:val="0091564E"/>
    <w:rsid w:val="009159FC"/>
    <w:rsid w:val="009161E6"/>
    <w:rsid w:val="00916ABE"/>
    <w:rsid w:val="009174A3"/>
    <w:rsid w:val="0092205A"/>
    <w:rsid w:val="00922197"/>
    <w:rsid w:val="00922491"/>
    <w:rsid w:val="009224AB"/>
    <w:rsid w:val="009224BC"/>
    <w:rsid w:val="009232FD"/>
    <w:rsid w:val="00923760"/>
    <w:rsid w:val="00925F79"/>
    <w:rsid w:val="0092623A"/>
    <w:rsid w:val="009265C9"/>
    <w:rsid w:val="0092720E"/>
    <w:rsid w:val="00932174"/>
    <w:rsid w:val="00932C67"/>
    <w:rsid w:val="00932EB8"/>
    <w:rsid w:val="009346EC"/>
    <w:rsid w:val="009347DC"/>
    <w:rsid w:val="009350BC"/>
    <w:rsid w:val="009364D1"/>
    <w:rsid w:val="0093652E"/>
    <w:rsid w:val="0093745F"/>
    <w:rsid w:val="00937CC0"/>
    <w:rsid w:val="00940040"/>
    <w:rsid w:val="00941DE7"/>
    <w:rsid w:val="00943300"/>
    <w:rsid w:val="0094361F"/>
    <w:rsid w:val="00944472"/>
    <w:rsid w:val="00944C0B"/>
    <w:rsid w:val="00945049"/>
    <w:rsid w:val="0094605C"/>
    <w:rsid w:val="009464B1"/>
    <w:rsid w:val="00947211"/>
    <w:rsid w:val="0095075E"/>
    <w:rsid w:val="0095086F"/>
    <w:rsid w:val="00950D0D"/>
    <w:rsid w:val="009514D7"/>
    <w:rsid w:val="00951664"/>
    <w:rsid w:val="009529C4"/>
    <w:rsid w:val="009536AD"/>
    <w:rsid w:val="009547D0"/>
    <w:rsid w:val="00954DF5"/>
    <w:rsid w:val="00954E04"/>
    <w:rsid w:val="009568B9"/>
    <w:rsid w:val="00957014"/>
    <w:rsid w:val="00957D01"/>
    <w:rsid w:val="009601E8"/>
    <w:rsid w:val="00961018"/>
    <w:rsid w:val="0096163D"/>
    <w:rsid w:val="00961762"/>
    <w:rsid w:val="0096181A"/>
    <w:rsid w:val="00963428"/>
    <w:rsid w:val="009639E1"/>
    <w:rsid w:val="009642CC"/>
    <w:rsid w:val="009652AD"/>
    <w:rsid w:val="009662D4"/>
    <w:rsid w:val="009666FC"/>
    <w:rsid w:val="00967031"/>
    <w:rsid w:val="0096757E"/>
    <w:rsid w:val="0097055C"/>
    <w:rsid w:val="00970EE6"/>
    <w:rsid w:val="0097103E"/>
    <w:rsid w:val="00971138"/>
    <w:rsid w:val="00971E46"/>
    <w:rsid w:val="009727DA"/>
    <w:rsid w:val="00972B35"/>
    <w:rsid w:val="00972F03"/>
    <w:rsid w:val="00973485"/>
    <w:rsid w:val="00977EAD"/>
    <w:rsid w:val="00980C1A"/>
    <w:rsid w:val="00982C26"/>
    <w:rsid w:val="009831C8"/>
    <w:rsid w:val="009833F6"/>
    <w:rsid w:val="00983695"/>
    <w:rsid w:val="00984CB5"/>
    <w:rsid w:val="00984EBD"/>
    <w:rsid w:val="00985CFC"/>
    <w:rsid w:val="009871C7"/>
    <w:rsid w:val="0099072E"/>
    <w:rsid w:val="00991C04"/>
    <w:rsid w:val="009927FB"/>
    <w:rsid w:val="00992E02"/>
    <w:rsid w:val="00993D60"/>
    <w:rsid w:val="00994145"/>
    <w:rsid w:val="00995AB9"/>
    <w:rsid w:val="00996339"/>
    <w:rsid w:val="00997A24"/>
    <w:rsid w:val="00997F85"/>
    <w:rsid w:val="009A0523"/>
    <w:rsid w:val="009A0BC3"/>
    <w:rsid w:val="009A1E96"/>
    <w:rsid w:val="009A1FA5"/>
    <w:rsid w:val="009A2012"/>
    <w:rsid w:val="009A2FF5"/>
    <w:rsid w:val="009A4AE0"/>
    <w:rsid w:val="009A6AA5"/>
    <w:rsid w:val="009A71F2"/>
    <w:rsid w:val="009A737A"/>
    <w:rsid w:val="009A7DDD"/>
    <w:rsid w:val="009B0020"/>
    <w:rsid w:val="009B1BDB"/>
    <w:rsid w:val="009B241D"/>
    <w:rsid w:val="009B4053"/>
    <w:rsid w:val="009B4146"/>
    <w:rsid w:val="009B4349"/>
    <w:rsid w:val="009B44EA"/>
    <w:rsid w:val="009B4FA2"/>
    <w:rsid w:val="009B6D46"/>
    <w:rsid w:val="009B72A9"/>
    <w:rsid w:val="009B7994"/>
    <w:rsid w:val="009B7FCC"/>
    <w:rsid w:val="009C0441"/>
    <w:rsid w:val="009C0852"/>
    <w:rsid w:val="009C2844"/>
    <w:rsid w:val="009C3B54"/>
    <w:rsid w:val="009C502D"/>
    <w:rsid w:val="009C5653"/>
    <w:rsid w:val="009C5966"/>
    <w:rsid w:val="009C5D35"/>
    <w:rsid w:val="009D0636"/>
    <w:rsid w:val="009D14B5"/>
    <w:rsid w:val="009D2D56"/>
    <w:rsid w:val="009D40C4"/>
    <w:rsid w:val="009D4BFC"/>
    <w:rsid w:val="009D4EC4"/>
    <w:rsid w:val="009D6CA4"/>
    <w:rsid w:val="009D6DCC"/>
    <w:rsid w:val="009D714A"/>
    <w:rsid w:val="009D739E"/>
    <w:rsid w:val="009E060B"/>
    <w:rsid w:val="009E1672"/>
    <w:rsid w:val="009E1A55"/>
    <w:rsid w:val="009E54F8"/>
    <w:rsid w:val="009E7299"/>
    <w:rsid w:val="009F1672"/>
    <w:rsid w:val="009F2567"/>
    <w:rsid w:val="009F36EA"/>
    <w:rsid w:val="009F3B0C"/>
    <w:rsid w:val="009F4146"/>
    <w:rsid w:val="009F5993"/>
    <w:rsid w:val="009F5D89"/>
    <w:rsid w:val="009F5E4B"/>
    <w:rsid w:val="00A00A5C"/>
    <w:rsid w:val="00A00A74"/>
    <w:rsid w:val="00A00C09"/>
    <w:rsid w:val="00A00E2E"/>
    <w:rsid w:val="00A012EB"/>
    <w:rsid w:val="00A01D5A"/>
    <w:rsid w:val="00A01FC9"/>
    <w:rsid w:val="00A02EBB"/>
    <w:rsid w:val="00A03096"/>
    <w:rsid w:val="00A03C34"/>
    <w:rsid w:val="00A03F01"/>
    <w:rsid w:val="00A041E2"/>
    <w:rsid w:val="00A04BDF"/>
    <w:rsid w:val="00A0516E"/>
    <w:rsid w:val="00A056CC"/>
    <w:rsid w:val="00A05E92"/>
    <w:rsid w:val="00A079CB"/>
    <w:rsid w:val="00A07BAC"/>
    <w:rsid w:val="00A07FCE"/>
    <w:rsid w:val="00A101F2"/>
    <w:rsid w:val="00A10316"/>
    <w:rsid w:val="00A125B1"/>
    <w:rsid w:val="00A1280B"/>
    <w:rsid w:val="00A12A12"/>
    <w:rsid w:val="00A143ED"/>
    <w:rsid w:val="00A14CFC"/>
    <w:rsid w:val="00A160A4"/>
    <w:rsid w:val="00A16C80"/>
    <w:rsid w:val="00A16E21"/>
    <w:rsid w:val="00A172F9"/>
    <w:rsid w:val="00A17448"/>
    <w:rsid w:val="00A17622"/>
    <w:rsid w:val="00A20024"/>
    <w:rsid w:val="00A213DD"/>
    <w:rsid w:val="00A21D01"/>
    <w:rsid w:val="00A24349"/>
    <w:rsid w:val="00A24EE3"/>
    <w:rsid w:val="00A25198"/>
    <w:rsid w:val="00A253D8"/>
    <w:rsid w:val="00A25610"/>
    <w:rsid w:val="00A26699"/>
    <w:rsid w:val="00A27968"/>
    <w:rsid w:val="00A30801"/>
    <w:rsid w:val="00A31A19"/>
    <w:rsid w:val="00A32A11"/>
    <w:rsid w:val="00A331D3"/>
    <w:rsid w:val="00A33E80"/>
    <w:rsid w:val="00A35970"/>
    <w:rsid w:val="00A35BA9"/>
    <w:rsid w:val="00A35D71"/>
    <w:rsid w:val="00A36327"/>
    <w:rsid w:val="00A363EE"/>
    <w:rsid w:val="00A37A03"/>
    <w:rsid w:val="00A37A45"/>
    <w:rsid w:val="00A37CE7"/>
    <w:rsid w:val="00A404EA"/>
    <w:rsid w:val="00A40BA9"/>
    <w:rsid w:val="00A41F02"/>
    <w:rsid w:val="00A43A09"/>
    <w:rsid w:val="00A47CC1"/>
    <w:rsid w:val="00A5105D"/>
    <w:rsid w:val="00A523CC"/>
    <w:rsid w:val="00A52500"/>
    <w:rsid w:val="00A557CE"/>
    <w:rsid w:val="00A56238"/>
    <w:rsid w:val="00A5675C"/>
    <w:rsid w:val="00A57358"/>
    <w:rsid w:val="00A601BB"/>
    <w:rsid w:val="00A60861"/>
    <w:rsid w:val="00A61053"/>
    <w:rsid w:val="00A615A6"/>
    <w:rsid w:val="00A61B65"/>
    <w:rsid w:val="00A626BB"/>
    <w:rsid w:val="00A628F1"/>
    <w:rsid w:val="00A63267"/>
    <w:rsid w:val="00A63667"/>
    <w:rsid w:val="00A64422"/>
    <w:rsid w:val="00A650DC"/>
    <w:rsid w:val="00A6642E"/>
    <w:rsid w:val="00A666A6"/>
    <w:rsid w:val="00A67BB5"/>
    <w:rsid w:val="00A67FAC"/>
    <w:rsid w:val="00A72171"/>
    <w:rsid w:val="00A74108"/>
    <w:rsid w:val="00A7497D"/>
    <w:rsid w:val="00A74A8C"/>
    <w:rsid w:val="00A74C7D"/>
    <w:rsid w:val="00A7722D"/>
    <w:rsid w:val="00A77B15"/>
    <w:rsid w:val="00A77F01"/>
    <w:rsid w:val="00A8006D"/>
    <w:rsid w:val="00A815C3"/>
    <w:rsid w:val="00A81CA7"/>
    <w:rsid w:val="00A81E31"/>
    <w:rsid w:val="00A8237D"/>
    <w:rsid w:val="00A82845"/>
    <w:rsid w:val="00A82D10"/>
    <w:rsid w:val="00A82D77"/>
    <w:rsid w:val="00A83ECE"/>
    <w:rsid w:val="00A84594"/>
    <w:rsid w:val="00A849DF"/>
    <w:rsid w:val="00A86B66"/>
    <w:rsid w:val="00A86CC9"/>
    <w:rsid w:val="00A87620"/>
    <w:rsid w:val="00A87C26"/>
    <w:rsid w:val="00A90C59"/>
    <w:rsid w:val="00A91019"/>
    <w:rsid w:val="00A9150A"/>
    <w:rsid w:val="00A91C9B"/>
    <w:rsid w:val="00A93BCE"/>
    <w:rsid w:val="00A94F58"/>
    <w:rsid w:val="00A94FE7"/>
    <w:rsid w:val="00A95787"/>
    <w:rsid w:val="00A978F9"/>
    <w:rsid w:val="00A979D9"/>
    <w:rsid w:val="00AA0429"/>
    <w:rsid w:val="00AA0DA5"/>
    <w:rsid w:val="00AA100A"/>
    <w:rsid w:val="00AA1640"/>
    <w:rsid w:val="00AA175C"/>
    <w:rsid w:val="00AA213C"/>
    <w:rsid w:val="00AA2921"/>
    <w:rsid w:val="00AA4D0A"/>
    <w:rsid w:val="00AA5A50"/>
    <w:rsid w:val="00AA5E2B"/>
    <w:rsid w:val="00AA5E96"/>
    <w:rsid w:val="00AA6F3E"/>
    <w:rsid w:val="00AA709E"/>
    <w:rsid w:val="00AA7609"/>
    <w:rsid w:val="00AA768C"/>
    <w:rsid w:val="00AB0DFE"/>
    <w:rsid w:val="00AB1FF5"/>
    <w:rsid w:val="00AB22D1"/>
    <w:rsid w:val="00AB2B3F"/>
    <w:rsid w:val="00AB393D"/>
    <w:rsid w:val="00AB3BDE"/>
    <w:rsid w:val="00AB5541"/>
    <w:rsid w:val="00AB62A7"/>
    <w:rsid w:val="00AB6735"/>
    <w:rsid w:val="00AC0351"/>
    <w:rsid w:val="00AC1712"/>
    <w:rsid w:val="00AC181B"/>
    <w:rsid w:val="00AC1829"/>
    <w:rsid w:val="00AC27C2"/>
    <w:rsid w:val="00AC3045"/>
    <w:rsid w:val="00AC3056"/>
    <w:rsid w:val="00AC3122"/>
    <w:rsid w:val="00AC4FF8"/>
    <w:rsid w:val="00AC5799"/>
    <w:rsid w:val="00AC5902"/>
    <w:rsid w:val="00AC5C72"/>
    <w:rsid w:val="00AC62F9"/>
    <w:rsid w:val="00AC6708"/>
    <w:rsid w:val="00AD052F"/>
    <w:rsid w:val="00AD0CAA"/>
    <w:rsid w:val="00AD15D2"/>
    <w:rsid w:val="00AD1ABB"/>
    <w:rsid w:val="00AD3538"/>
    <w:rsid w:val="00AD5D0D"/>
    <w:rsid w:val="00AD5DD5"/>
    <w:rsid w:val="00AE27C4"/>
    <w:rsid w:val="00AE2BBA"/>
    <w:rsid w:val="00AE36FD"/>
    <w:rsid w:val="00AE3F7B"/>
    <w:rsid w:val="00AE4656"/>
    <w:rsid w:val="00AE542C"/>
    <w:rsid w:val="00AE593E"/>
    <w:rsid w:val="00AE59DB"/>
    <w:rsid w:val="00AE6BF5"/>
    <w:rsid w:val="00AE783D"/>
    <w:rsid w:val="00AE7FCF"/>
    <w:rsid w:val="00AF002B"/>
    <w:rsid w:val="00AF139C"/>
    <w:rsid w:val="00AF257B"/>
    <w:rsid w:val="00AF2F9C"/>
    <w:rsid w:val="00AF377A"/>
    <w:rsid w:val="00AF3C8D"/>
    <w:rsid w:val="00AF3F89"/>
    <w:rsid w:val="00AF4507"/>
    <w:rsid w:val="00AF4CFA"/>
    <w:rsid w:val="00AF50DF"/>
    <w:rsid w:val="00AF62D8"/>
    <w:rsid w:val="00AF655F"/>
    <w:rsid w:val="00AF6C0C"/>
    <w:rsid w:val="00AF75E3"/>
    <w:rsid w:val="00AF7F3F"/>
    <w:rsid w:val="00B000E8"/>
    <w:rsid w:val="00B011D2"/>
    <w:rsid w:val="00B015AC"/>
    <w:rsid w:val="00B01624"/>
    <w:rsid w:val="00B03035"/>
    <w:rsid w:val="00B03EBE"/>
    <w:rsid w:val="00B04D83"/>
    <w:rsid w:val="00B05021"/>
    <w:rsid w:val="00B052BC"/>
    <w:rsid w:val="00B05A06"/>
    <w:rsid w:val="00B05B50"/>
    <w:rsid w:val="00B06643"/>
    <w:rsid w:val="00B07708"/>
    <w:rsid w:val="00B10738"/>
    <w:rsid w:val="00B12642"/>
    <w:rsid w:val="00B13025"/>
    <w:rsid w:val="00B1451D"/>
    <w:rsid w:val="00B14604"/>
    <w:rsid w:val="00B14683"/>
    <w:rsid w:val="00B1652C"/>
    <w:rsid w:val="00B16898"/>
    <w:rsid w:val="00B17AF0"/>
    <w:rsid w:val="00B20189"/>
    <w:rsid w:val="00B20191"/>
    <w:rsid w:val="00B20F19"/>
    <w:rsid w:val="00B20F2E"/>
    <w:rsid w:val="00B22454"/>
    <w:rsid w:val="00B226C4"/>
    <w:rsid w:val="00B22843"/>
    <w:rsid w:val="00B22C74"/>
    <w:rsid w:val="00B23796"/>
    <w:rsid w:val="00B23F2C"/>
    <w:rsid w:val="00B261D1"/>
    <w:rsid w:val="00B2643E"/>
    <w:rsid w:val="00B27092"/>
    <w:rsid w:val="00B271D3"/>
    <w:rsid w:val="00B32401"/>
    <w:rsid w:val="00B33645"/>
    <w:rsid w:val="00B33BC0"/>
    <w:rsid w:val="00B34FB9"/>
    <w:rsid w:val="00B3520C"/>
    <w:rsid w:val="00B35832"/>
    <w:rsid w:val="00B377A7"/>
    <w:rsid w:val="00B40318"/>
    <w:rsid w:val="00B415B9"/>
    <w:rsid w:val="00B416DE"/>
    <w:rsid w:val="00B41CCA"/>
    <w:rsid w:val="00B444E5"/>
    <w:rsid w:val="00B46540"/>
    <w:rsid w:val="00B46BB3"/>
    <w:rsid w:val="00B478B3"/>
    <w:rsid w:val="00B50F0A"/>
    <w:rsid w:val="00B51873"/>
    <w:rsid w:val="00B51977"/>
    <w:rsid w:val="00B52412"/>
    <w:rsid w:val="00B530C2"/>
    <w:rsid w:val="00B56547"/>
    <w:rsid w:val="00B600C9"/>
    <w:rsid w:val="00B6133D"/>
    <w:rsid w:val="00B622F7"/>
    <w:rsid w:val="00B634CA"/>
    <w:rsid w:val="00B64FD1"/>
    <w:rsid w:val="00B6627D"/>
    <w:rsid w:val="00B66D4E"/>
    <w:rsid w:val="00B67903"/>
    <w:rsid w:val="00B6790E"/>
    <w:rsid w:val="00B67C8A"/>
    <w:rsid w:val="00B70A5A"/>
    <w:rsid w:val="00B72C36"/>
    <w:rsid w:val="00B73942"/>
    <w:rsid w:val="00B73A36"/>
    <w:rsid w:val="00B73AFE"/>
    <w:rsid w:val="00B7478D"/>
    <w:rsid w:val="00B75747"/>
    <w:rsid w:val="00B75C26"/>
    <w:rsid w:val="00B77485"/>
    <w:rsid w:val="00B77B1E"/>
    <w:rsid w:val="00B8052D"/>
    <w:rsid w:val="00B806C9"/>
    <w:rsid w:val="00B80707"/>
    <w:rsid w:val="00B8090A"/>
    <w:rsid w:val="00B80946"/>
    <w:rsid w:val="00B80F05"/>
    <w:rsid w:val="00B81987"/>
    <w:rsid w:val="00B81FED"/>
    <w:rsid w:val="00B83538"/>
    <w:rsid w:val="00B83C52"/>
    <w:rsid w:val="00B868FB"/>
    <w:rsid w:val="00B8728D"/>
    <w:rsid w:val="00B876EC"/>
    <w:rsid w:val="00B90D3B"/>
    <w:rsid w:val="00B91256"/>
    <w:rsid w:val="00B9217F"/>
    <w:rsid w:val="00B921A2"/>
    <w:rsid w:val="00B9272F"/>
    <w:rsid w:val="00B92C62"/>
    <w:rsid w:val="00B92E9E"/>
    <w:rsid w:val="00B94064"/>
    <w:rsid w:val="00B94C80"/>
    <w:rsid w:val="00B95A4B"/>
    <w:rsid w:val="00B97CC5"/>
    <w:rsid w:val="00BA188B"/>
    <w:rsid w:val="00BA22D9"/>
    <w:rsid w:val="00BA2879"/>
    <w:rsid w:val="00BA397B"/>
    <w:rsid w:val="00BA3BE0"/>
    <w:rsid w:val="00BA5771"/>
    <w:rsid w:val="00BA6BEC"/>
    <w:rsid w:val="00BA74E6"/>
    <w:rsid w:val="00BA7640"/>
    <w:rsid w:val="00BA7F50"/>
    <w:rsid w:val="00BB10E0"/>
    <w:rsid w:val="00BB1AAB"/>
    <w:rsid w:val="00BB1CC0"/>
    <w:rsid w:val="00BB26C5"/>
    <w:rsid w:val="00BB2ED6"/>
    <w:rsid w:val="00BB3E39"/>
    <w:rsid w:val="00BB468E"/>
    <w:rsid w:val="00BB5C32"/>
    <w:rsid w:val="00BB5FA5"/>
    <w:rsid w:val="00BB60AC"/>
    <w:rsid w:val="00BB6559"/>
    <w:rsid w:val="00BB6F5F"/>
    <w:rsid w:val="00BB743A"/>
    <w:rsid w:val="00BB7CF9"/>
    <w:rsid w:val="00BC0167"/>
    <w:rsid w:val="00BC06CD"/>
    <w:rsid w:val="00BC0B73"/>
    <w:rsid w:val="00BC127E"/>
    <w:rsid w:val="00BC1786"/>
    <w:rsid w:val="00BC1F98"/>
    <w:rsid w:val="00BC304B"/>
    <w:rsid w:val="00BC355C"/>
    <w:rsid w:val="00BC5D13"/>
    <w:rsid w:val="00BC79C9"/>
    <w:rsid w:val="00BD0C6F"/>
    <w:rsid w:val="00BD3AFE"/>
    <w:rsid w:val="00BD3F8A"/>
    <w:rsid w:val="00BD5B50"/>
    <w:rsid w:val="00BD7787"/>
    <w:rsid w:val="00BD7DFF"/>
    <w:rsid w:val="00BE1082"/>
    <w:rsid w:val="00BE1123"/>
    <w:rsid w:val="00BE1D6B"/>
    <w:rsid w:val="00BE23BE"/>
    <w:rsid w:val="00BE28A3"/>
    <w:rsid w:val="00BE2FB1"/>
    <w:rsid w:val="00BE2FF7"/>
    <w:rsid w:val="00BE393E"/>
    <w:rsid w:val="00BE485D"/>
    <w:rsid w:val="00BE4ED6"/>
    <w:rsid w:val="00BE4EDF"/>
    <w:rsid w:val="00BE6804"/>
    <w:rsid w:val="00BE700A"/>
    <w:rsid w:val="00BF167E"/>
    <w:rsid w:val="00BF1D92"/>
    <w:rsid w:val="00BF1DAA"/>
    <w:rsid w:val="00BF313A"/>
    <w:rsid w:val="00BF42A0"/>
    <w:rsid w:val="00BF450D"/>
    <w:rsid w:val="00BF4CB1"/>
    <w:rsid w:val="00BF4ED7"/>
    <w:rsid w:val="00BF5715"/>
    <w:rsid w:val="00BF5BFA"/>
    <w:rsid w:val="00BF73B9"/>
    <w:rsid w:val="00BF76D5"/>
    <w:rsid w:val="00C00A5A"/>
    <w:rsid w:val="00C01211"/>
    <w:rsid w:val="00C02C7E"/>
    <w:rsid w:val="00C042A9"/>
    <w:rsid w:val="00C06212"/>
    <w:rsid w:val="00C075D1"/>
    <w:rsid w:val="00C07A5B"/>
    <w:rsid w:val="00C07E29"/>
    <w:rsid w:val="00C10288"/>
    <w:rsid w:val="00C102CE"/>
    <w:rsid w:val="00C1128D"/>
    <w:rsid w:val="00C11E7C"/>
    <w:rsid w:val="00C11EF1"/>
    <w:rsid w:val="00C128A1"/>
    <w:rsid w:val="00C12DD5"/>
    <w:rsid w:val="00C1332F"/>
    <w:rsid w:val="00C13907"/>
    <w:rsid w:val="00C13BCE"/>
    <w:rsid w:val="00C13DC6"/>
    <w:rsid w:val="00C14404"/>
    <w:rsid w:val="00C1502D"/>
    <w:rsid w:val="00C159CB"/>
    <w:rsid w:val="00C15ACF"/>
    <w:rsid w:val="00C15CF8"/>
    <w:rsid w:val="00C16B98"/>
    <w:rsid w:val="00C171C9"/>
    <w:rsid w:val="00C179EA"/>
    <w:rsid w:val="00C17B8A"/>
    <w:rsid w:val="00C20793"/>
    <w:rsid w:val="00C21408"/>
    <w:rsid w:val="00C21C93"/>
    <w:rsid w:val="00C21D0D"/>
    <w:rsid w:val="00C21DCE"/>
    <w:rsid w:val="00C2213B"/>
    <w:rsid w:val="00C231A5"/>
    <w:rsid w:val="00C23206"/>
    <w:rsid w:val="00C2353D"/>
    <w:rsid w:val="00C239D1"/>
    <w:rsid w:val="00C24B6F"/>
    <w:rsid w:val="00C24EA7"/>
    <w:rsid w:val="00C25113"/>
    <w:rsid w:val="00C25C72"/>
    <w:rsid w:val="00C25F65"/>
    <w:rsid w:val="00C25F8D"/>
    <w:rsid w:val="00C27C92"/>
    <w:rsid w:val="00C30967"/>
    <w:rsid w:val="00C321B2"/>
    <w:rsid w:val="00C32D6F"/>
    <w:rsid w:val="00C33BF9"/>
    <w:rsid w:val="00C34096"/>
    <w:rsid w:val="00C34B3A"/>
    <w:rsid w:val="00C353FE"/>
    <w:rsid w:val="00C35729"/>
    <w:rsid w:val="00C358B0"/>
    <w:rsid w:val="00C36076"/>
    <w:rsid w:val="00C367AF"/>
    <w:rsid w:val="00C407CC"/>
    <w:rsid w:val="00C40915"/>
    <w:rsid w:val="00C409C5"/>
    <w:rsid w:val="00C40D79"/>
    <w:rsid w:val="00C40ED8"/>
    <w:rsid w:val="00C40FF3"/>
    <w:rsid w:val="00C42194"/>
    <w:rsid w:val="00C42BED"/>
    <w:rsid w:val="00C42E3E"/>
    <w:rsid w:val="00C432DC"/>
    <w:rsid w:val="00C43812"/>
    <w:rsid w:val="00C43D95"/>
    <w:rsid w:val="00C4520D"/>
    <w:rsid w:val="00C4670E"/>
    <w:rsid w:val="00C46BCA"/>
    <w:rsid w:val="00C47086"/>
    <w:rsid w:val="00C471D6"/>
    <w:rsid w:val="00C47AEE"/>
    <w:rsid w:val="00C505E1"/>
    <w:rsid w:val="00C50822"/>
    <w:rsid w:val="00C5291E"/>
    <w:rsid w:val="00C52C48"/>
    <w:rsid w:val="00C53211"/>
    <w:rsid w:val="00C53A34"/>
    <w:rsid w:val="00C54D6F"/>
    <w:rsid w:val="00C54DBB"/>
    <w:rsid w:val="00C5524E"/>
    <w:rsid w:val="00C556A2"/>
    <w:rsid w:val="00C55DE3"/>
    <w:rsid w:val="00C56BF1"/>
    <w:rsid w:val="00C576B5"/>
    <w:rsid w:val="00C60162"/>
    <w:rsid w:val="00C60307"/>
    <w:rsid w:val="00C607B5"/>
    <w:rsid w:val="00C60F68"/>
    <w:rsid w:val="00C61BDD"/>
    <w:rsid w:val="00C62266"/>
    <w:rsid w:val="00C631D6"/>
    <w:rsid w:val="00C66147"/>
    <w:rsid w:val="00C669B8"/>
    <w:rsid w:val="00C67083"/>
    <w:rsid w:val="00C70AB6"/>
    <w:rsid w:val="00C713BE"/>
    <w:rsid w:val="00C71915"/>
    <w:rsid w:val="00C71D75"/>
    <w:rsid w:val="00C727FB"/>
    <w:rsid w:val="00C728DC"/>
    <w:rsid w:val="00C7311A"/>
    <w:rsid w:val="00C73700"/>
    <w:rsid w:val="00C74756"/>
    <w:rsid w:val="00C74A15"/>
    <w:rsid w:val="00C76C7C"/>
    <w:rsid w:val="00C76CC0"/>
    <w:rsid w:val="00C7740C"/>
    <w:rsid w:val="00C7785E"/>
    <w:rsid w:val="00C77A6A"/>
    <w:rsid w:val="00C8021C"/>
    <w:rsid w:val="00C80B20"/>
    <w:rsid w:val="00C80CA9"/>
    <w:rsid w:val="00C8175A"/>
    <w:rsid w:val="00C81A52"/>
    <w:rsid w:val="00C82F3E"/>
    <w:rsid w:val="00C84E86"/>
    <w:rsid w:val="00C8500D"/>
    <w:rsid w:val="00C860BA"/>
    <w:rsid w:val="00C87299"/>
    <w:rsid w:val="00C8745F"/>
    <w:rsid w:val="00C908C0"/>
    <w:rsid w:val="00C9120F"/>
    <w:rsid w:val="00C921AF"/>
    <w:rsid w:val="00C92DF8"/>
    <w:rsid w:val="00C96E7F"/>
    <w:rsid w:val="00C96F27"/>
    <w:rsid w:val="00CA04C4"/>
    <w:rsid w:val="00CA0E1B"/>
    <w:rsid w:val="00CA105F"/>
    <w:rsid w:val="00CA179A"/>
    <w:rsid w:val="00CA224A"/>
    <w:rsid w:val="00CA2E25"/>
    <w:rsid w:val="00CA2E62"/>
    <w:rsid w:val="00CA2F10"/>
    <w:rsid w:val="00CA3673"/>
    <w:rsid w:val="00CA3CB0"/>
    <w:rsid w:val="00CA4345"/>
    <w:rsid w:val="00CA59D5"/>
    <w:rsid w:val="00CA5EBE"/>
    <w:rsid w:val="00CA6AF0"/>
    <w:rsid w:val="00CA6D6A"/>
    <w:rsid w:val="00CA6DE7"/>
    <w:rsid w:val="00CA713E"/>
    <w:rsid w:val="00CB044B"/>
    <w:rsid w:val="00CB04E6"/>
    <w:rsid w:val="00CB15C9"/>
    <w:rsid w:val="00CB184A"/>
    <w:rsid w:val="00CB1B88"/>
    <w:rsid w:val="00CB2ADD"/>
    <w:rsid w:val="00CB2CF1"/>
    <w:rsid w:val="00CB4680"/>
    <w:rsid w:val="00CB5B04"/>
    <w:rsid w:val="00CC0187"/>
    <w:rsid w:val="00CC05EB"/>
    <w:rsid w:val="00CC10C9"/>
    <w:rsid w:val="00CC11A9"/>
    <w:rsid w:val="00CC1452"/>
    <w:rsid w:val="00CC20CB"/>
    <w:rsid w:val="00CC2A82"/>
    <w:rsid w:val="00CC46E9"/>
    <w:rsid w:val="00CC4E23"/>
    <w:rsid w:val="00CC5253"/>
    <w:rsid w:val="00CC5F2F"/>
    <w:rsid w:val="00CC6A06"/>
    <w:rsid w:val="00CD0E25"/>
    <w:rsid w:val="00CD0FD2"/>
    <w:rsid w:val="00CD1275"/>
    <w:rsid w:val="00CD18D4"/>
    <w:rsid w:val="00CD1CE3"/>
    <w:rsid w:val="00CD21A6"/>
    <w:rsid w:val="00CD235C"/>
    <w:rsid w:val="00CD257F"/>
    <w:rsid w:val="00CD2D19"/>
    <w:rsid w:val="00CD3D8A"/>
    <w:rsid w:val="00CD452E"/>
    <w:rsid w:val="00CD4773"/>
    <w:rsid w:val="00CD4A39"/>
    <w:rsid w:val="00CD5378"/>
    <w:rsid w:val="00CD5CC5"/>
    <w:rsid w:val="00CD6EF4"/>
    <w:rsid w:val="00CD7AE1"/>
    <w:rsid w:val="00CE0C4B"/>
    <w:rsid w:val="00CE3DBD"/>
    <w:rsid w:val="00CE7351"/>
    <w:rsid w:val="00CF1BA5"/>
    <w:rsid w:val="00CF24B4"/>
    <w:rsid w:val="00CF5A76"/>
    <w:rsid w:val="00CF5FAD"/>
    <w:rsid w:val="00CF6C39"/>
    <w:rsid w:val="00CF6E1E"/>
    <w:rsid w:val="00CF71DD"/>
    <w:rsid w:val="00CF75A6"/>
    <w:rsid w:val="00D03150"/>
    <w:rsid w:val="00D03BB5"/>
    <w:rsid w:val="00D0537A"/>
    <w:rsid w:val="00D07475"/>
    <w:rsid w:val="00D07760"/>
    <w:rsid w:val="00D07930"/>
    <w:rsid w:val="00D07CBD"/>
    <w:rsid w:val="00D108B5"/>
    <w:rsid w:val="00D11383"/>
    <w:rsid w:val="00D116A7"/>
    <w:rsid w:val="00D116AB"/>
    <w:rsid w:val="00D11896"/>
    <w:rsid w:val="00D126D5"/>
    <w:rsid w:val="00D141EE"/>
    <w:rsid w:val="00D144F7"/>
    <w:rsid w:val="00D15CE9"/>
    <w:rsid w:val="00D16948"/>
    <w:rsid w:val="00D16E6D"/>
    <w:rsid w:val="00D1794F"/>
    <w:rsid w:val="00D17B3D"/>
    <w:rsid w:val="00D2093A"/>
    <w:rsid w:val="00D23047"/>
    <w:rsid w:val="00D2323D"/>
    <w:rsid w:val="00D2339D"/>
    <w:rsid w:val="00D2386C"/>
    <w:rsid w:val="00D2470F"/>
    <w:rsid w:val="00D24CCE"/>
    <w:rsid w:val="00D24EA4"/>
    <w:rsid w:val="00D26720"/>
    <w:rsid w:val="00D2732A"/>
    <w:rsid w:val="00D3026F"/>
    <w:rsid w:val="00D30609"/>
    <w:rsid w:val="00D31F88"/>
    <w:rsid w:val="00D3355D"/>
    <w:rsid w:val="00D33BE8"/>
    <w:rsid w:val="00D35169"/>
    <w:rsid w:val="00D3618F"/>
    <w:rsid w:val="00D377EF"/>
    <w:rsid w:val="00D417AC"/>
    <w:rsid w:val="00D41B19"/>
    <w:rsid w:val="00D42ADC"/>
    <w:rsid w:val="00D42D06"/>
    <w:rsid w:val="00D43651"/>
    <w:rsid w:val="00D43E89"/>
    <w:rsid w:val="00D441B1"/>
    <w:rsid w:val="00D446B6"/>
    <w:rsid w:val="00D44CAE"/>
    <w:rsid w:val="00D44DFC"/>
    <w:rsid w:val="00D479FF"/>
    <w:rsid w:val="00D50ADB"/>
    <w:rsid w:val="00D50E08"/>
    <w:rsid w:val="00D513DA"/>
    <w:rsid w:val="00D517FE"/>
    <w:rsid w:val="00D52953"/>
    <w:rsid w:val="00D52EE5"/>
    <w:rsid w:val="00D5335B"/>
    <w:rsid w:val="00D534E5"/>
    <w:rsid w:val="00D53D1D"/>
    <w:rsid w:val="00D56EE4"/>
    <w:rsid w:val="00D57807"/>
    <w:rsid w:val="00D5787D"/>
    <w:rsid w:val="00D579F9"/>
    <w:rsid w:val="00D61654"/>
    <w:rsid w:val="00D62ED4"/>
    <w:rsid w:val="00D654C9"/>
    <w:rsid w:val="00D65D89"/>
    <w:rsid w:val="00D668CB"/>
    <w:rsid w:val="00D715F9"/>
    <w:rsid w:val="00D74C2E"/>
    <w:rsid w:val="00D755A9"/>
    <w:rsid w:val="00D75906"/>
    <w:rsid w:val="00D7652E"/>
    <w:rsid w:val="00D76F51"/>
    <w:rsid w:val="00D77C2D"/>
    <w:rsid w:val="00D77DA2"/>
    <w:rsid w:val="00D802F1"/>
    <w:rsid w:val="00D80803"/>
    <w:rsid w:val="00D81980"/>
    <w:rsid w:val="00D81A01"/>
    <w:rsid w:val="00D82C5D"/>
    <w:rsid w:val="00D83BD3"/>
    <w:rsid w:val="00D83ECE"/>
    <w:rsid w:val="00D90A5D"/>
    <w:rsid w:val="00D917F8"/>
    <w:rsid w:val="00D922F9"/>
    <w:rsid w:val="00D935C0"/>
    <w:rsid w:val="00D9403F"/>
    <w:rsid w:val="00D9453D"/>
    <w:rsid w:val="00D94568"/>
    <w:rsid w:val="00D9476D"/>
    <w:rsid w:val="00D94823"/>
    <w:rsid w:val="00D94C2B"/>
    <w:rsid w:val="00D950E5"/>
    <w:rsid w:val="00D96425"/>
    <w:rsid w:val="00D96547"/>
    <w:rsid w:val="00D968B7"/>
    <w:rsid w:val="00D97445"/>
    <w:rsid w:val="00DA055C"/>
    <w:rsid w:val="00DA1346"/>
    <w:rsid w:val="00DA1859"/>
    <w:rsid w:val="00DA2C95"/>
    <w:rsid w:val="00DA40A9"/>
    <w:rsid w:val="00DA5633"/>
    <w:rsid w:val="00DA59C2"/>
    <w:rsid w:val="00DA5D1F"/>
    <w:rsid w:val="00DA6342"/>
    <w:rsid w:val="00DA6905"/>
    <w:rsid w:val="00DB1672"/>
    <w:rsid w:val="00DB1B4C"/>
    <w:rsid w:val="00DB256A"/>
    <w:rsid w:val="00DB27E0"/>
    <w:rsid w:val="00DB282A"/>
    <w:rsid w:val="00DB2D92"/>
    <w:rsid w:val="00DB387E"/>
    <w:rsid w:val="00DB4638"/>
    <w:rsid w:val="00DB4895"/>
    <w:rsid w:val="00DB49C9"/>
    <w:rsid w:val="00DB4AF9"/>
    <w:rsid w:val="00DB5289"/>
    <w:rsid w:val="00DB5407"/>
    <w:rsid w:val="00DB5408"/>
    <w:rsid w:val="00DB6B30"/>
    <w:rsid w:val="00DB6C7C"/>
    <w:rsid w:val="00DB75F8"/>
    <w:rsid w:val="00DB771E"/>
    <w:rsid w:val="00DC17C1"/>
    <w:rsid w:val="00DC2D13"/>
    <w:rsid w:val="00DC2E8D"/>
    <w:rsid w:val="00DC33BB"/>
    <w:rsid w:val="00DC39B7"/>
    <w:rsid w:val="00DC731E"/>
    <w:rsid w:val="00DC7403"/>
    <w:rsid w:val="00DC7A88"/>
    <w:rsid w:val="00DD18C6"/>
    <w:rsid w:val="00DD1AF6"/>
    <w:rsid w:val="00DD2FF8"/>
    <w:rsid w:val="00DD353E"/>
    <w:rsid w:val="00DD3DC0"/>
    <w:rsid w:val="00DD4527"/>
    <w:rsid w:val="00DD56AB"/>
    <w:rsid w:val="00DD66EA"/>
    <w:rsid w:val="00DD76B1"/>
    <w:rsid w:val="00DD76B6"/>
    <w:rsid w:val="00DD7C18"/>
    <w:rsid w:val="00DE056D"/>
    <w:rsid w:val="00DE0FD2"/>
    <w:rsid w:val="00DE2415"/>
    <w:rsid w:val="00DE3270"/>
    <w:rsid w:val="00DE385F"/>
    <w:rsid w:val="00DE3B36"/>
    <w:rsid w:val="00DE3F03"/>
    <w:rsid w:val="00DE44A9"/>
    <w:rsid w:val="00DE5D75"/>
    <w:rsid w:val="00DE6812"/>
    <w:rsid w:val="00DE734B"/>
    <w:rsid w:val="00DE7B5F"/>
    <w:rsid w:val="00DF0684"/>
    <w:rsid w:val="00DF15B4"/>
    <w:rsid w:val="00DF1E0D"/>
    <w:rsid w:val="00DF2EAB"/>
    <w:rsid w:val="00DF2FCC"/>
    <w:rsid w:val="00DF40DB"/>
    <w:rsid w:val="00DF5572"/>
    <w:rsid w:val="00DF7150"/>
    <w:rsid w:val="00DF786C"/>
    <w:rsid w:val="00E00AAD"/>
    <w:rsid w:val="00E01254"/>
    <w:rsid w:val="00E014FE"/>
    <w:rsid w:val="00E01B60"/>
    <w:rsid w:val="00E01EBA"/>
    <w:rsid w:val="00E021AC"/>
    <w:rsid w:val="00E024AA"/>
    <w:rsid w:val="00E0297D"/>
    <w:rsid w:val="00E02984"/>
    <w:rsid w:val="00E039E2"/>
    <w:rsid w:val="00E03C83"/>
    <w:rsid w:val="00E05122"/>
    <w:rsid w:val="00E05EAA"/>
    <w:rsid w:val="00E07705"/>
    <w:rsid w:val="00E1103C"/>
    <w:rsid w:val="00E118DB"/>
    <w:rsid w:val="00E11FD7"/>
    <w:rsid w:val="00E11FE5"/>
    <w:rsid w:val="00E129E2"/>
    <w:rsid w:val="00E143B6"/>
    <w:rsid w:val="00E15362"/>
    <w:rsid w:val="00E16ED7"/>
    <w:rsid w:val="00E1763B"/>
    <w:rsid w:val="00E178BA"/>
    <w:rsid w:val="00E20814"/>
    <w:rsid w:val="00E219B2"/>
    <w:rsid w:val="00E21AFB"/>
    <w:rsid w:val="00E23824"/>
    <w:rsid w:val="00E24325"/>
    <w:rsid w:val="00E2511B"/>
    <w:rsid w:val="00E263E1"/>
    <w:rsid w:val="00E26BD8"/>
    <w:rsid w:val="00E27712"/>
    <w:rsid w:val="00E30120"/>
    <w:rsid w:val="00E30BA3"/>
    <w:rsid w:val="00E30DDE"/>
    <w:rsid w:val="00E31D1A"/>
    <w:rsid w:val="00E3409A"/>
    <w:rsid w:val="00E36C99"/>
    <w:rsid w:val="00E36DBA"/>
    <w:rsid w:val="00E36E6E"/>
    <w:rsid w:val="00E36FB7"/>
    <w:rsid w:val="00E371A7"/>
    <w:rsid w:val="00E37E18"/>
    <w:rsid w:val="00E40D7D"/>
    <w:rsid w:val="00E412A3"/>
    <w:rsid w:val="00E415DD"/>
    <w:rsid w:val="00E42F44"/>
    <w:rsid w:val="00E4322E"/>
    <w:rsid w:val="00E43B72"/>
    <w:rsid w:val="00E44A42"/>
    <w:rsid w:val="00E44DA8"/>
    <w:rsid w:val="00E45647"/>
    <w:rsid w:val="00E46DD6"/>
    <w:rsid w:val="00E470CA"/>
    <w:rsid w:val="00E473A4"/>
    <w:rsid w:val="00E47FF4"/>
    <w:rsid w:val="00E502B7"/>
    <w:rsid w:val="00E50655"/>
    <w:rsid w:val="00E50A64"/>
    <w:rsid w:val="00E50C3C"/>
    <w:rsid w:val="00E50E1D"/>
    <w:rsid w:val="00E51100"/>
    <w:rsid w:val="00E519CE"/>
    <w:rsid w:val="00E51F7A"/>
    <w:rsid w:val="00E522E6"/>
    <w:rsid w:val="00E530D5"/>
    <w:rsid w:val="00E55DAC"/>
    <w:rsid w:val="00E56A45"/>
    <w:rsid w:val="00E56CFA"/>
    <w:rsid w:val="00E57E2B"/>
    <w:rsid w:val="00E60217"/>
    <w:rsid w:val="00E60C9F"/>
    <w:rsid w:val="00E61CBF"/>
    <w:rsid w:val="00E61D0D"/>
    <w:rsid w:val="00E62164"/>
    <w:rsid w:val="00E631FF"/>
    <w:rsid w:val="00E632F7"/>
    <w:rsid w:val="00E6332E"/>
    <w:rsid w:val="00E63607"/>
    <w:rsid w:val="00E63979"/>
    <w:rsid w:val="00E64A32"/>
    <w:rsid w:val="00E64A63"/>
    <w:rsid w:val="00E665BB"/>
    <w:rsid w:val="00E67653"/>
    <w:rsid w:val="00E70268"/>
    <w:rsid w:val="00E71E5F"/>
    <w:rsid w:val="00E72526"/>
    <w:rsid w:val="00E727AF"/>
    <w:rsid w:val="00E729B3"/>
    <w:rsid w:val="00E729C4"/>
    <w:rsid w:val="00E73A73"/>
    <w:rsid w:val="00E73D30"/>
    <w:rsid w:val="00E74329"/>
    <w:rsid w:val="00E74538"/>
    <w:rsid w:val="00E749B4"/>
    <w:rsid w:val="00E74BD3"/>
    <w:rsid w:val="00E759BC"/>
    <w:rsid w:val="00E75E5C"/>
    <w:rsid w:val="00E76203"/>
    <w:rsid w:val="00E76844"/>
    <w:rsid w:val="00E76DF4"/>
    <w:rsid w:val="00E771A8"/>
    <w:rsid w:val="00E80871"/>
    <w:rsid w:val="00E81524"/>
    <w:rsid w:val="00E8234C"/>
    <w:rsid w:val="00E84A31"/>
    <w:rsid w:val="00E84A3E"/>
    <w:rsid w:val="00E858A9"/>
    <w:rsid w:val="00E86B1E"/>
    <w:rsid w:val="00E873F5"/>
    <w:rsid w:val="00E876C8"/>
    <w:rsid w:val="00E8774E"/>
    <w:rsid w:val="00E90092"/>
    <w:rsid w:val="00E90F95"/>
    <w:rsid w:val="00E9101E"/>
    <w:rsid w:val="00E913DE"/>
    <w:rsid w:val="00E91BFB"/>
    <w:rsid w:val="00E91FAE"/>
    <w:rsid w:val="00E92459"/>
    <w:rsid w:val="00E92C15"/>
    <w:rsid w:val="00E938A5"/>
    <w:rsid w:val="00E9519F"/>
    <w:rsid w:val="00E95989"/>
    <w:rsid w:val="00E96847"/>
    <w:rsid w:val="00EA0397"/>
    <w:rsid w:val="00EA215D"/>
    <w:rsid w:val="00EA2E9B"/>
    <w:rsid w:val="00EA3C67"/>
    <w:rsid w:val="00EA513D"/>
    <w:rsid w:val="00EA525C"/>
    <w:rsid w:val="00EA5AA0"/>
    <w:rsid w:val="00EA647F"/>
    <w:rsid w:val="00EA650C"/>
    <w:rsid w:val="00EA7A3A"/>
    <w:rsid w:val="00EB026A"/>
    <w:rsid w:val="00EB1169"/>
    <w:rsid w:val="00EB1D69"/>
    <w:rsid w:val="00EB254B"/>
    <w:rsid w:val="00EB2A1E"/>
    <w:rsid w:val="00EB3A1A"/>
    <w:rsid w:val="00EB3EA8"/>
    <w:rsid w:val="00EB48C2"/>
    <w:rsid w:val="00EB51C1"/>
    <w:rsid w:val="00EB5301"/>
    <w:rsid w:val="00EB547A"/>
    <w:rsid w:val="00EB55DD"/>
    <w:rsid w:val="00EB70D0"/>
    <w:rsid w:val="00EC1159"/>
    <w:rsid w:val="00EC15D2"/>
    <w:rsid w:val="00EC246B"/>
    <w:rsid w:val="00EC3648"/>
    <w:rsid w:val="00EC41A4"/>
    <w:rsid w:val="00EC4AC6"/>
    <w:rsid w:val="00EC4C8F"/>
    <w:rsid w:val="00EC5B66"/>
    <w:rsid w:val="00EC5C5B"/>
    <w:rsid w:val="00EC76F3"/>
    <w:rsid w:val="00EC7831"/>
    <w:rsid w:val="00EC78A4"/>
    <w:rsid w:val="00EC7AFD"/>
    <w:rsid w:val="00EC7E31"/>
    <w:rsid w:val="00ED0C71"/>
    <w:rsid w:val="00ED1487"/>
    <w:rsid w:val="00ED20BB"/>
    <w:rsid w:val="00ED3084"/>
    <w:rsid w:val="00ED36E1"/>
    <w:rsid w:val="00ED4486"/>
    <w:rsid w:val="00ED4DAA"/>
    <w:rsid w:val="00ED4E8A"/>
    <w:rsid w:val="00ED5A7D"/>
    <w:rsid w:val="00ED72D0"/>
    <w:rsid w:val="00ED755F"/>
    <w:rsid w:val="00ED79CB"/>
    <w:rsid w:val="00EE0B6F"/>
    <w:rsid w:val="00EE1733"/>
    <w:rsid w:val="00EE2945"/>
    <w:rsid w:val="00EE2E06"/>
    <w:rsid w:val="00EE393D"/>
    <w:rsid w:val="00EE3A40"/>
    <w:rsid w:val="00EE3B18"/>
    <w:rsid w:val="00EE3FB8"/>
    <w:rsid w:val="00EE484A"/>
    <w:rsid w:val="00EE4BCB"/>
    <w:rsid w:val="00EE4DC5"/>
    <w:rsid w:val="00EE56F7"/>
    <w:rsid w:val="00EE6592"/>
    <w:rsid w:val="00EE66F9"/>
    <w:rsid w:val="00EE7823"/>
    <w:rsid w:val="00EF0049"/>
    <w:rsid w:val="00EF0B14"/>
    <w:rsid w:val="00EF0F20"/>
    <w:rsid w:val="00EF27C2"/>
    <w:rsid w:val="00EF4F7D"/>
    <w:rsid w:val="00EF5DD4"/>
    <w:rsid w:val="00EF6327"/>
    <w:rsid w:val="00EF66BC"/>
    <w:rsid w:val="00EF6A74"/>
    <w:rsid w:val="00EF704B"/>
    <w:rsid w:val="00EF78F7"/>
    <w:rsid w:val="00F00316"/>
    <w:rsid w:val="00F0038C"/>
    <w:rsid w:val="00F009EB"/>
    <w:rsid w:val="00F011CA"/>
    <w:rsid w:val="00F0298F"/>
    <w:rsid w:val="00F036F1"/>
    <w:rsid w:val="00F05198"/>
    <w:rsid w:val="00F0684E"/>
    <w:rsid w:val="00F0690E"/>
    <w:rsid w:val="00F1008C"/>
    <w:rsid w:val="00F107FC"/>
    <w:rsid w:val="00F10A1E"/>
    <w:rsid w:val="00F113E9"/>
    <w:rsid w:val="00F116B2"/>
    <w:rsid w:val="00F11C5C"/>
    <w:rsid w:val="00F120E7"/>
    <w:rsid w:val="00F129F7"/>
    <w:rsid w:val="00F12B08"/>
    <w:rsid w:val="00F12C70"/>
    <w:rsid w:val="00F131E4"/>
    <w:rsid w:val="00F146E5"/>
    <w:rsid w:val="00F1495C"/>
    <w:rsid w:val="00F15A3A"/>
    <w:rsid w:val="00F16B0B"/>
    <w:rsid w:val="00F17771"/>
    <w:rsid w:val="00F178EB"/>
    <w:rsid w:val="00F20772"/>
    <w:rsid w:val="00F21AC0"/>
    <w:rsid w:val="00F21E6B"/>
    <w:rsid w:val="00F224A7"/>
    <w:rsid w:val="00F22CA2"/>
    <w:rsid w:val="00F239DA"/>
    <w:rsid w:val="00F23F3E"/>
    <w:rsid w:val="00F23FF6"/>
    <w:rsid w:val="00F256B9"/>
    <w:rsid w:val="00F2579B"/>
    <w:rsid w:val="00F26411"/>
    <w:rsid w:val="00F26F5B"/>
    <w:rsid w:val="00F2781D"/>
    <w:rsid w:val="00F27C3D"/>
    <w:rsid w:val="00F27F42"/>
    <w:rsid w:val="00F309BB"/>
    <w:rsid w:val="00F31A58"/>
    <w:rsid w:val="00F32A19"/>
    <w:rsid w:val="00F33A7A"/>
    <w:rsid w:val="00F340A3"/>
    <w:rsid w:val="00F34430"/>
    <w:rsid w:val="00F34707"/>
    <w:rsid w:val="00F359B7"/>
    <w:rsid w:val="00F35A86"/>
    <w:rsid w:val="00F36FB4"/>
    <w:rsid w:val="00F370B4"/>
    <w:rsid w:val="00F40505"/>
    <w:rsid w:val="00F415BA"/>
    <w:rsid w:val="00F41B94"/>
    <w:rsid w:val="00F4201D"/>
    <w:rsid w:val="00F42112"/>
    <w:rsid w:val="00F430F5"/>
    <w:rsid w:val="00F43C45"/>
    <w:rsid w:val="00F43C56"/>
    <w:rsid w:val="00F43DD4"/>
    <w:rsid w:val="00F44065"/>
    <w:rsid w:val="00F44CF8"/>
    <w:rsid w:val="00F4540B"/>
    <w:rsid w:val="00F46100"/>
    <w:rsid w:val="00F4718C"/>
    <w:rsid w:val="00F47346"/>
    <w:rsid w:val="00F47618"/>
    <w:rsid w:val="00F47DA2"/>
    <w:rsid w:val="00F504A7"/>
    <w:rsid w:val="00F51098"/>
    <w:rsid w:val="00F52846"/>
    <w:rsid w:val="00F529D9"/>
    <w:rsid w:val="00F52A76"/>
    <w:rsid w:val="00F53D2E"/>
    <w:rsid w:val="00F579F9"/>
    <w:rsid w:val="00F57F45"/>
    <w:rsid w:val="00F60C07"/>
    <w:rsid w:val="00F60D14"/>
    <w:rsid w:val="00F60E3D"/>
    <w:rsid w:val="00F61DAA"/>
    <w:rsid w:val="00F62088"/>
    <w:rsid w:val="00F62AC5"/>
    <w:rsid w:val="00F632DF"/>
    <w:rsid w:val="00F63573"/>
    <w:rsid w:val="00F64E76"/>
    <w:rsid w:val="00F661F1"/>
    <w:rsid w:val="00F673C6"/>
    <w:rsid w:val="00F677F4"/>
    <w:rsid w:val="00F67908"/>
    <w:rsid w:val="00F7099F"/>
    <w:rsid w:val="00F70A3F"/>
    <w:rsid w:val="00F70E0F"/>
    <w:rsid w:val="00F71142"/>
    <w:rsid w:val="00F7193C"/>
    <w:rsid w:val="00F7492C"/>
    <w:rsid w:val="00F74A02"/>
    <w:rsid w:val="00F74EF6"/>
    <w:rsid w:val="00F74F42"/>
    <w:rsid w:val="00F7768F"/>
    <w:rsid w:val="00F82265"/>
    <w:rsid w:val="00F8239C"/>
    <w:rsid w:val="00F83370"/>
    <w:rsid w:val="00F83904"/>
    <w:rsid w:val="00F83A9F"/>
    <w:rsid w:val="00F83E31"/>
    <w:rsid w:val="00F84541"/>
    <w:rsid w:val="00F84891"/>
    <w:rsid w:val="00F84C7C"/>
    <w:rsid w:val="00F85756"/>
    <w:rsid w:val="00F86439"/>
    <w:rsid w:val="00F86764"/>
    <w:rsid w:val="00F86AAB"/>
    <w:rsid w:val="00F86F47"/>
    <w:rsid w:val="00F91112"/>
    <w:rsid w:val="00F92495"/>
    <w:rsid w:val="00F92C16"/>
    <w:rsid w:val="00F92F07"/>
    <w:rsid w:val="00F9526F"/>
    <w:rsid w:val="00F9582C"/>
    <w:rsid w:val="00F95D02"/>
    <w:rsid w:val="00F95D1E"/>
    <w:rsid w:val="00F9601E"/>
    <w:rsid w:val="00F9630C"/>
    <w:rsid w:val="00F96A2E"/>
    <w:rsid w:val="00F96A9F"/>
    <w:rsid w:val="00F97AE3"/>
    <w:rsid w:val="00F97F09"/>
    <w:rsid w:val="00FA04DE"/>
    <w:rsid w:val="00FA0E79"/>
    <w:rsid w:val="00FA22C2"/>
    <w:rsid w:val="00FA2563"/>
    <w:rsid w:val="00FA3014"/>
    <w:rsid w:val="00FA403E"/>
    <w:rsid w:val="00FA469D"/>
    <w:rsid w:val="00FA7B5E"/>
    <w:rsid w:val="00FB004E"/>
    <w:rsid w:val="00FB036E"/>
    <w:rsid w:val="00FB1B09"/>
    <w:rsid w:val="00FB21C4"/>
    <w:rsid w:val="00FB2B95"/>
    <w:rsid w:val="00FB2FA2"/>
    <w:rsid w:val="00FB30D8"/>
    <w:rsid w:val="00FB426F"/>
    <w:rsid w:val="00FB4CEA"/>
    <w:rsid w:val="00FB50F8"/>
    <w:rsid w:val="00FB5B76"/>
    <w:rsid w:val="00FB67CE"/>
    <w:rsid w:val="00FB699B"/>
    <w:rsid w:val="00FB7895"/>
    <w:rsid w:val="00FC01DB"/>
    <w:rsid w:val="00FC059D"/>
    <w:rsid w:val="00FC196A"/>
    <w:rsid w:val="00FC2525"/>
    <w:rsid w:val="00FC3CDC"/>
    <w:rsid w:val="00FC3D93"/>
    <w:rsid w:val="00FC3F3E"/>
    <w:rsid w:val="00FC41ED"/>
    <w:rsid w:val="00FC45C6"/>
    <w:rsid w:val="00FC4A48"/>
    <w:rsid w:val="00FC53F8"/>
    <w:rsid w:val="00FC6135"/>
    <w:rsid w:val="00FC6674"/>
    <w:rsid w:val="00FD02DA"/>
    <w:rsid w:val="00FD07B9"/>
    <w:rsid w:val="00FD1444"/>
    <w:rsid w:val="00FD2531"/>
    <w:rsid w:val="00FD30DD"/>
    <w:rsid w:val="00FD3301"/>
    <w:rsid w:val="00FD3BA9"/>
    <w:rsid w:val="00FD5195"/>
    <w:rsid w:val="00FD6C4A"/>
    <w:rsid w:val="00FE05AC"/>
    <w:rsid w:val="00FE0EE8"/>
    <w:rsid w:val="00FE1BC9"/>
    <w:rsid w:val="00FE2C18"/>
    <w:rsid w:val="00FE34D9"/>
    <w:rsid w:val="00FE4F8F"/>
    <w:rsid w:val="00FE5671"/>
    <w:rsid w:val="00FE672F"/>
    <w:rsid w:val="00FE793D"/>
    <w:rsid w:val="00FE79F7"/>
    <w:rsid w:val="00FE7AEB"/>
    <w:rsid w:val="00FF0A99"/>
    <w:rsid w:val="00FF28FE"/>
    <w:rsid w:val="00FF2978"/>
    <w:rsid w:val="00FF57E0"/>
    <w:rsid w:val="00FF5827"/>
    <w:rsid w:val="00FF7580"/>
    <w:rsid w:val="00FF7B46"/>
    <w:rsid w:val="010B1845"/>
    <w:rsid w:val="01141D11"/>
    <w:rsid w:val="01260AA4"/>
    <w:rsid w:val="02010773"/>
    <w:rsid w:val="03646B5D"/>
    <w:rsid w:val="0525637C"/>
    <w:rsid w:val="065152D2"/>
    <w:rsid w:val="06BA773F"/>
    <w:rsid w:val="07247C80"/>
    <w:rsid w:val="08502F14"/>
    <w:rsid w:val="08637941"/>
    <w:rsid w:val="091B425B"/>
    <w:rsid w:val="099F4515"/>
    <w:rsid w:val="0A8F2B29"/>
    <w:rsid w:val="0A9D2AB5"/>
    <w:rsid w:val="0B300BFE"/>
    <w:rsid w:val="0BFA1EE0"/>
    <w:rsid w:val="0C71153E"/>
    <w:rsid w:val="0C8337DE"/>
    <w:rsid w:val="0C961A73"/>
    <w:rsid w:val="0CB7610E"/>
    <w:rsid w:val="0D3328AD"/>
    <w:rsid w:val="0D9B01BE"/>
    <w:rsid w:val="0E614854"/>
    <w:rsid w:val="0F5B7FBA"/>
    <w:rsid w:val="0FB708A4"/>
    <w:rsid w:val="0FC74436"/>
    <w:rsid w:val="1044229E"/>
    <w:rsid w:val="106A5B09"/>
    <w:rsid w:val="10B1004F"/>
    <w:rsid w:val="10BB644C"/>
    <w:rsid w:val="117C4358"/>
    <w:rsid w:val="125220D1"/>
    <w:rsid w:val="12BA2608"/>
    <w:rsid w:val="131E1878"/>
    <w:rsid w:val="13653AA2"/>
    <w:rsid w:val="13686BDC"/>
    <w:rsid w:val="13D51E8E"/>
    <w:rsid w:val="148F621C"/>
    <w:rsid w:val="14CA4482"/>
    <w:rsid w:val="14CE0AF1"/>
    <w:rsid w:val="157679A2"/>
    <w:rsid w:val="157E29AF"/>
    <w:rsid w:val="161D0664"/>
    <w:rsid w:val="162F1B50"/>
    <w:rsid w:val="16E00536"/>
    <w:rsid w:val="178A47DD"/>
    <w:rsid w:val="17991074"/>
    <w:rsid w:val="17AD42E5"/>
    <w:rsid w:val="1857560A"/>
    <w:rsid w:val="1984777E"/>
    <w:rsid w:val="19E413AE"/>
    <w:rsid w:val="1A5572D9"/>
    <w:rsid w:val="1A7E15CD"/>
    <w:rsid w:val="1A922483"/>
    <w:rsid w:val="1AA60ED5"/>
    <w:rsid w:val="1AAB13B3"/>
    <w:rsid w:val="1B6E1A2D"/>
    <w:rsid w:val="1C1D316C"/>
    <w:rsid w:val="1C345606"/>
    <w:rsid w:val="1C3D7063"/>
    <w:rsid w:val="1C4C5516"/>
    <w:rsid w:val="1C7570CA"/>
    <w:rsid w:val="1D1073B1"/>
    <w:rsid w:val="1D621D51"/>
    <w:rsid w:val="1DE57795"/>
    <w:rsid w:val="1E937C4F"/>
    <w:rsid w:val="1FD169EB"/>
    <w:rsid w:val="20B43D78"/>
    <w:rsid w:val="21830150"/>
    <w:rsid w:val="230235E6"/>
    <w:rsid w:val="230E3CE7"/>
    <w:rsid w:val="2343613A"/>
    <w:rsid w:val="234E12C8"/>
    <w:rsid w:val="23670A6D"/>
    <w:rsid w:val="237815D0"/>
    <w:rsid w:val="239255F7"/>
    <w:rsid w:val="24700FC9"/>
    <w:rsid w:val="24DE5A67"/>
    <w:rsid w:val="252243C9"/>
    <w:rsid w:val="25EE3D8F"/>
    <w:rsid w:val="261125FE"/>
    <w:rsid w:val="26D86C4C"/>
    <w:rsid w:val="27AB5ECA"/>
    <w:rsid w:val="27C17503"/>
    <w:rsid w:val="28284BD8"/>
    <w:rsid w:val="28684D29"/>
    <w:rsid w:val="29C17DCD"/>
    <w:rsid w:val="2B0976B2"/>
    <w:rsid w:val="2B663B9E"/>
    <w:rsid w:val="2BF730CB"/>
    <w:rsid w:val="2C2465D6"/>
    <w:rsid w:val="2C644BB6"/>
    <w:rsid w:val="2C714E0E"/>
    <w:rsid w:val="2D072950"/>
    <w:rsid w:val="2E5A4278"/>
    <w:rsid w:val="2E6A4467"/>
    <w:rsid w:val="2F93238C"/>
    <w:rsid w:val="2FAB02E0"/>
    <w:rsid w:val="2FB97A89"/>
    <w:rsid w:val="3152054A"/>
    <w:rsid w:val="32340619"/>
    <w:rsid w:val="32690993"/>
    <w:rsid w:val="32913584"/>
    <w:rsid w:val="334E7CDC"/>
    <w:rsid w:val="33973E55"/>
    <w:rsid w:val="33A77A7B"/>
    <w:rsid w:val="33D66755"/>
    <w:rsid w:val="355B6E14"/>
    <w:rsid w:val="35B835CB"/>
    <w:rsid w:val="35EE034E"/>
    <w:rsid w:val="36140CE4"/>
    <w:rsid w:val="36C5739D"/>
    <w:rsid w:val="375F0550"/>
    <w:rsid w:val="37F756EA"/>
    <w:rsid w:val="387438D0"/>
    <w:rsid w:val="38E67794"/>
    <w:rsid w:val="38E92D2F"/>
    <w:rsid w:val="39816A2F"/>
    <w:rsid w:val="39B46B08"/>
    <w:rsid w:val="39F21204"/>
    <w:rsid w:val="3A9B6D57"/>
    <w:rsid w:val="3AFD61EB"/>
    <w:rsid w:val="3C0651FB"/>
    <w:rsid w:val="3C211CCD"/>
    <w:rsid w:val="3CC316B6"/>
    <w:rsid w:val="3CF51F17"/>
    <w:rsid w:val="3D1B19D7"/>
    <w:rsid w:val="3D7B6BDE"/>
    <w:rsid w:val="3EBA5073"/>
    <w:rsid w:val="3FC45529"/>
    <w:rsid w:val="40CB491D"/>
    <w:rsid w:val="41323B35"/>
    <w:rsid w:val="42F269FC"/>
    <w:rsid w:val="435E4322"/>
    <w:rsid w:val="43C02E4F"/>
    <w:rsid w:val="445122DB"/>
    <w:rsid w:val="4541267D"/>
    <w:rsid w:val="458E2D25"/>
    <w:rsid w:val="471824B5"/>
    <w:rsid w:val="47A66166"/>
    <w:rsid w:val="47E64113"/>
    <w:rsid w:val="489E0FA9"/>
    <w:rsid w:val="49060DE5"/>
    <w:rsid w:val="4952461C"/>
    <w:rsid w:val="495525B3"/>
    <w:rsid w:val="49634666"/>
    <w:rsid w:val="49663440"/>
    <w:rsid w:val="496D7F54"/>
    <w:rsid w:val="49F511CD"/>
    <w:rsid w:val="4A2F6AED"/>
    <w:rsid w:val="4CA92280"/>
    <w:rsid w:val="4CD55C67"/>
    <w:rsid w:val="4D183B52"/>
    <w:rsid w:val="4D1C37F5"/>
    <w:rsid w:val="4D311F58"/>
    <w:rsid w:val="4D911111"/>
    <w:rsid w:val="4E6F510C"/>
    <w:rsid w:val="4F833E36"/>
    <w:rsid w:val="4FA62908"/>
    <w:rsid w:val="4FF47872"/>
    <w:rsid w:val="507341DC"/>
    <w:rsid w:val="50BD61AE"/>
    <w:rsid w:val="50C47FCE"/>
    <w:rsid w:val="51AB6549"/>
    <w:rsid w:val="51AE6171"/>
    <w:rsid w:val="51BF65BF"/>
    <w:rsid w:val="51CA71B7"/>
    <w:rsid w:val="51EA2F63"/>
    <w:rsid w:val="5294037D"/>
    <w:rsid w:val="52C07C39"/>
    <w:rsid w:val="5326658F"/>
    <w:rsid w:val="5327675C"/>
    <w:rsid w:val="537526D6"/>
    <w:rsid w:val="53A150D6"/>
    <w:rsid w:val="54033DD2"/>
    <w:rsid w:val="541301BC"/>
    <w:rsid w:val="55F67B26"/>
    <w:rsid w:val="56666EE2"/>
    <w:rsid w:val="567F2B93"/>
    <w:rsid w:val="56CC6410"/>
    <w:rsid w:val="56D133F5"/>
    <w:rsid w:val="57713A75"/>
    <w:rsid w:val="584563AC"/>
    <w:rsid w:val="589E5072"/>
    <w:rsid w:val="58AE27A1"/>
    <w:rsid w:val="59576166"/>
    <w:rsid w:val="59920E69"/>
    <w:rsid w:val="59A40D89"/>
    <w:rsid w:val="5C5A554A"/>
    <w:rsid w:val="5D413F79"/>
    <w:rsid w:val="5DD96130"/>
    <w:rsid w:val="5DDF282C"/>
    <w:rsid w:val="5DEB4DAC"/>
    <w:rsid w:val="5E3874D3"/>
    <w:rsid w:val="5EFF5A55"/>
    <w:rsid w:val="5F293DB1"/>
    <w:rsid w:val="5F4D72A4"/>
    <w:rsid w:val="60350AA3"/>
    <w:rsid w:val="6044254D"/>
    <w:rsid w:val="605D68EC"/>
    <w:rsid w:val="60B41267"/>
    <w:rsid w:val="60E458D6"/>
    <w:rsid w:val="60EA2255"/>
    <w:rsid w:val="61503572"/>
    <w:rsid w:val="619B068B"/>
    <w:rsid w:val="61A1019C"/>
    <w:rsid w:val="62C36FF6"/>
    <w:rsid w:val="62D03DC5"/>
    <w:rsid w:val="63862FC7"/>
    <w:rsid w:val="6406281B"/>
    <w:rsid w:val="64A410FA"/>
    <w:rsid w:val="6562660E"/>
    <w:rsid w:val="65EE6657"/>
    <w:rsid w:val="66236544"/>
    <w:rsid w:val="66A734CA"/>
    <w:rsid w:val="66AE15EB"/>
    <w:rsid w:val="66C459FD"/>
    <w:rsid w:val="6703130F"/>
    <w:rsid w:val="67482DEA"/>
    <w:rsid w:val="678E65DE"/>
    <w:rsid w:val="684D5E2C"/>
    <w:rsid w:val="689D7CE0"/>
    <w:rsid w:val="68BB106D"/>
    <w:rsid w:val="68BD784F"/>
    <w:rsid w:val="68E869AA"/>
    <w:rsid w:val="69B2706D"/>
    <w:rsid w:val="69E0021D"/>
    <w:rsid w:val="6AC8716C"/>
    <w:rsid w:val="6BAF13A5"/>
    <w:rsid w:val="6BCC0871"/>
    <w:rsid w:val="6BE77371"/>
    <w:rsid w:val="6C2A4963"/>
    <w:rsid w:val="6C2F048D"/>
    <w:rsid w:val="6C5A1397"/>
    <w:rsid w:val="6C697856"/>
    <w:rsid w:val="6CDC23DB"/>
    <w:rsid w:val="6D0403F2"/>
    <w:rsid w:val="6D9A75A4"/>
    <w:rsid w:val="6EFE4411"/>
    <w:rsid w:val="6F703AEE"/>
    <w:rsid w:val="703711F3"/>
    <w:rsid w:val="71716823"/>
    <w:rsid w:val="720A221F"/>
    <w:rsid w:val="731810B3"/>
    <w:rsid w:val="73313347"/>
    <w:rsid w:val="73342B15"/>
    <w:rsid w:val="73463F15"/>
    <w:rsid w:val="734765A7"/>
    <w:rsid w:val="73531913"/>
    <w:rsid w:val="73564CDF"/>
    <w:rsid w:val="738567C5"/>
    <w:rsid w:val="74182880"/>
    <w:rsid w:val="74EB498A"/>
    <w:rsid w:val="767E146A"/>
    <w:rsid w:val="76CC0617"/>
    <w:rsid w:val="776437F0"/>
    <w:rsid w:val="782245FF"/>
    <w:rsid w:val="783560FB"/>
    <w:rsid w:val="787A4D0E"/>
    <w:rsid w:val="7880226C"/>
    <w:rsid w:val="7898460E"/>
    <w:rsid w:val="79A15493"/>
    <w:rsid w:val="7A980246"/>
    <w:rsid w:val="7B2A3087"/>
    <w:rsid w:val="7C24086F"/>
    <w:rsid w:val="7CB357A8"/>
    <w:rsid w:val="7D4867AE"/>
    <w:rsid w:val="7D827615"/>
    <w:rsid w:val="7DB227CF"/>
    <w:rsid w:val="7E7D1E42"/>
    <w:rsid w:val="7E913F09"/>
    <w:rsid w:val="7EE32315"/>
    <w:rsid w:val="7F280A05"/>
    <w:rsid w:val="7F315BBC"/>
    <w:rsid w:val="7FD03097"/>
    <w:rsid w:val="7FEB5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7"/>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8"/>
    <w:qFormat/>
    <w:uiPriority w:val="0"/>
    <w:pPr>
      <w:keepNext/>
      <w:keepLines/>
      <w:spacing w:before="260" w:after="260"/>
      <w:jc w:val="center"/>
      <w:outlineLvl w:val="1"/>
    </w:pPr>
    <w:rPr>
      <w:rFonts w:ascii="Arial" w:hAnsi="Arial"/>
      <w:b/>
      <w:bCs/>
      <w:sz w:val="32"/>
      <w:szCs w:val="32"/>
    </w:rPr>
  </w:style>
  <w:style w:type="paragraph" w:styleId="6">
    <w:name w:val="heading 3"/>
    <w:basedOn w:val="1"/>
    <w:next w:val="1"/>
    <w:link w:val="59"/>
    <w:qFormat/>
    <w:uiPriority w:val="0"/>
    <w:pPr>
      <w:keepNext/>
      <w:keepLines/>
      <w:spacing w:before="260" w:after="260"/>
      <w:jc w:val="left"/>
      <w:outlineLvl w:val="2"/>
    </w:pPr>
    <w:rPr>
      <w:b/>
      <w:bCs/>
      <w:sz w:val="24"/>
      <w:szCs w:val="32"/>
    </w:rPr>
  </w:style>
  <w:style w:type="paragraph" w:styleId="7">
    <w:name w:val="heading 4"/>
    <w:basedOn w:val="1"/>
    <w:next w:val="1"/>
    <w:link w:val="60"/>
    <w:qFormat/>
    <w:uiPriority w:val="0"/>
    <w:pPr>
      <w:keepNext/>
      <w:keepLines/>
      <w:spacing w:before="280" w:after="290" w:line="374" w:lineRule="auto"/>
      <w:outlineLvl w:val="3"/>
    </w:pPr>
    <w:rPr>
      <w:rFonts w:ascii="Arial" w:hAnsi="Arial" w:eastAsia="黑体"/>
      <w:b/>
      <w:bCs/>
      <w:sz w:val="28"/>
      <w:szCs w:val="28"/>
    </w:rPr>
  </w:style>
  <w:style w:type="paragraph" w:styleId="8">
    <w:name w:val="heading 5"/>
    <w:basedOn w:val="1"/>
    <w:next w:val="1"/>
    <w:link w:val="61"/>
    <w:qFormat/>
    <w:uiPriority w:val="0"/>
    <w:pPr>
      <w:keepNext/>
      <w:keepLines/>
      <w:spacing w:before="280" w:after="290" w:line="374" w:lineRule="auto"/>
      <w:outlineLvl w:val="4"/>
    </w:pPr>
    <w:rPr>
      <w:b/>
      <w:bCs/>
      <w:sz w:val="28"/>
      <w:szCs w:val="28"/>
    </w:rPr>
  </w:style>
  <w:style w:type="paragraph" w:styleId="9">
    <w:name w:val="heading 6"/>
    <w:basedOn w:val="1"/>
    <w:next w:val="1"/>
    <w:link w:val="62"/>
    <w:qFormat/>
    <w:uiPriority w:val="0"/>
    <w:pPr>
      <w:keepNext/>
      <w:keepLines/>
      <w:spacing w:before="240" w:after="64" w:line="317" w:lineRule="auto"/>
      <w:outlineLvl w:val="5"/>
    </w:pPr>
    <w:rPr>
      <w:rFonts w:ascii="Cambria" w:hAnsi="Cambria"/>
      <w:b/>
      <w:bCs/>
      <w:sz w:val="24"/>
    </w:rPr>
  </w:style>
  <w:style w:type="paragraph" w:styleId="10">
    <w:name w:val="heading 7"/>
    <w:basedOn w:val="1"/>
    <w:next w:val="1"/>
    <w:link w:val="63"/>
    <w:qFormat/>
    <w:uiPriority w:val="0"/>
    <w:pPr>
      <w:keepNext/>
      <w:keepLines/>
      <w:spacing w:before="240" w:after="64" w:line="317" w:lineRule="auto"/>
      <w:outlineLvl w:val="6"/>
    </w:pPr>
    <w:rPr>
      <w:rFonts w:ascii="Calibri" w:hAnsi="Calibri"/>
      <w:b/>
      <w:bCs/>
      <w:sz w:val="24"/>
    </w:rPr>
  </w:style>
  <w:style w:type="paragraph" w:styleId="11">
    <w:name w:val="heading 8"/>
    <w:basedOn w:val="1"/>
    <w:next w:val="1"/>
    <w:link w:val="64"/>
    <w:qFormat/>
    <w:uiPriority w:val="0"/>
    <w:pPr>
      <w:keepNext/>
      <w:keepLines/>
      <w:spacing w:before="240" w:after="64" w:line="317" w:lineRule="auto"/>
      <w:outlineLvl w:val="7"/>
    </w:pPr>
    <w:rPr>
      <w:rFonts w:ascii="Cambria" w:hAnsi="Cambria"/>
      <w:sz w:val="24"/>
    </w:rPr>
  </w:style>
  <w:style w:type="paragraph" w:styleId="12">
    <w:name w:val="heading 9"/>
    <w:basedOn w:val="1"/>
    <w:next w:val="1"/>
    <w:link w:val="65"/>
    <w:qFormat/>
    <w:uiPriority w:val="0"/>
    <w:pPr>
      <w:keepNext/>
      <w:keepLines/>
      <w:spacing w:before="240" w:after="64" w:line="317" w:lineRule="auto"/>
      <w:outlineLvl w:val="8"/>
    </w:pPr>
    <w:rPr>
      <w:rFonts w:ascii="Cambria" w:hAnsi="Cambria"/>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13">
    <w:name w:val="toc 7"/>
    <w:basedOn w:val="1"/>
    <w:next w:val="1"/>
    <w:unhideWhenUsed/>
    <w:qFormat/>
    <w:uiPriority w:val="0"/>
    <w:pPr>
      <w:ind w:left="2520" w:leftChars="1200"/>
    </w:pPr>
    <w:rPr>
      <w:rFonts w:ascii="Calibri" w:hAnsi="Calibri"/>
      <w:szCs w:val="22"/>
    </w:rPr>
  </w:style>
  <w:style w:type="paragraph" w:styleId="14">
    <w:name w:val="Normal Indent"/>
    <w:basedOn w:val="1"/>
    <w:link w:val="66"/>
    <w:qFormat/>
    <w:uiPriority w:val="0"/>
    <w:pPr>
      <w:ind w:firstLine="20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7"/>
    <w:qFormat/>
    <w:uiPriority w:val="0"/>
    <w:pPr>
      <w:shd w:val="clear" w:color="auto" w:fill="000080"/>
    </w:pPr>
  </w:style>
  <w:style w:type="paragraph" w:styleId="17">
    <w:name w:val="annotation text"/>
    <w:basedOn w:val="1"/>
    <w:link w:val="68"/>
    <w:qFormat/>
    <w:uiPriority w:val="0"/>
    <w:pPr>
      <w:autoSpaceDE w:val="0"/>
      <w:autoSpaceDN w:val="0"/>
      <w:adjustRightInd w:val="0"/>
      <w:jc w:val="left"/>
    </w:pPr>
    <w:rPr>
      <w:kern w:val="0"/>
      <w:szCs w:val="21"/>
    </w:rPr>
  </w:style>
  <w:style w:type="paragraph" w:styleId="18">
    <w:name w:val="Salutation"/>
    <w:basedOn w:val="1"/>
    <w:next w:val="1"/>
    <w:link w:val="69"/>
    <w:qFormat/>
    <w:uiPriority w:val="0"/>
    <w:pPr>
      <w:widowControl/>
      <w:textAlignment w:val="baseline"/>
    </w:pPr>
    <w:rPr>
      <w:rFonts w:ascii="宋体" w:eastAsia="黑体"/>
      <w:sz w:val="34"/>
      <w:szCs w:val="20"/>
    </w:rPr>
  </w:style>
  <w:style w:type="paragraph" w:styleId="19">
    <w:name w:val="Body Text"/>
    <w:basedOn w:val="1"/>
    <w:next w:val="1"/>
    <w:link w:val="70"/>
    <w:qFormat/>
    <w:uiPriority w:val="0"/>
    <w:pPr>
      <w:adjustRightInd w:val="0"/>
      <w:spacing w:after="60" w:line="360" w:lineRule="atLeast"/>
      <w:ind w:left="72" w:leftChars="30" w:right="30" w:rightChars="30"/>
      <w:jc w:val="center"/>
      <w:textAlignment w:val="baseline"/>
    </w:pPr>
    <w:rPr>
      <w:kern w:val="0"/>
      <w:sz w:val="20"/>
      <w:szCs w:val="20"/>
    </w:rPr>
  </w:style>
  <w:style w:type="paragraph" w:styleId="20">
    <w:name w:val="Body Text Indent"/>
    <w:basedOn w:val="1"/>
    <w:link w:val="71"/>
    <w:qFormat/>
    <w:uiPriority w:val="0"/>
    <w:pPr>
      <w:ind w:firstLine="630"/>
    </w:pPr>
    <w:rPr>
      <w:sz w:val="32"/>
      <w:szCs w:val="20"/>
    </w:rPr>
  </w:style>
  <w:style w:type="paragraph" w:styleId="21">
    <w:name w:val="List 2"/>
    <w:basedOn w:val="1"/>
    <w:qFormat/>
    <w:uiPriority w:val="0"/>
    <w:pPr>
      <w:ind w:left="100" w:leftChars="200" w:hanging="200" w:hangingChars="200"/>
      <w:contextualSpacing/>
    </w:pPr>
  </w:style>
  <w:style w:type="paragraph" w:styleId="22">
    <w:name w:val="Block Text"/>
    <w:basedOn w:val="1"/>
    <w:qFormat/>
    <w:uiPriority w:val="0"/>
    <w:pPr>
      <w:ind w:left="-540" w:leftChars="-257" w:right="-334" w:rightChars="-159" w:firstLine="540" w:firstLineChars="180"/>
    </w:pPr>
    <w:rPr>
      <w:sz w:val="30"/>
    </w:rPr>
  </w:style>
  <w:style w:type="paragraph" w:styleId="23">
    <w:name w:val="index 4"/>
    <w:basedOn w:val="1"/>
    <w:next w:val="1"/>
    <w:qFormat/>
    <w:uiPriority w:val="0"/>
    <w:pPr>
      <w:ind w:left="600" w:leftChars="600"/>
    </w:pPr>
  </w:style>
  <w:style w:type="paragraph" w:styleId="24">
    <w:name w:val="toc 5"/>
    <w:basedOn w:val="1"/>
    <w:next w:val="1"/>
    <w:unhideWhenUsed/>
    <w:qFormat/>
    <w:uiPriority w:val="0"/>
    <w:pPr>
      <w:ind w:left="1680" w:leftChars="800"/>
    </w:pPr>
    <w:rPr>
      <w:rFonts w:ascii="Calibri" w:hAnsi="Calibri"/>
      <w:szCs w:val="22"/>
    </w:rPr>
  </w:style>
  <w:style w:type="paragraph" w:styleId="25">
    <w:name w:val="toc 3"/>
    <w:basedOn w:val="1"/>
    <w:next w:val="1"/>
    <w:unhideWhenUsed/>
    <w:qFormat/>
    <w:uiPriority w:val="39"/>
    <w:pPr>
      <w:widowControl/>
      <w:spacing w:after="100" w:line="259" w:lineRule="auto"/>
      <w:ind w:left="440"/>
      <w:jc w:val="left"/>
    </w:pPr>
    <w:rPr>
      <w:rFonts w:ascii="Calibri" w:hAnsi="Calibri"/>
      <w:kern w:val="0"/>
      <w:sz w:val="22"/>
      <w:szCs w:val="22"/>
    </w:rPr>
  </w:style>
  <w:style w:type="paragraph" w:styleId="26">
    <w:name w:val="Plain Text"/>
    <w:basedOn w:val="1"/>
    <w:link w:val="72"/>
    <w:qFormat/>
    <w:uiPriority w:val="0"/>
    <w:rPr>
      <w:rFonts w:ascii="宋体" w:hAnsi="Courier New"/>
      <w:szCs w:val="20"/>
    </w:rPr>
  </w:style>
  <w:style w:type="paragraph" w:styleId="27">
    <w:name w:val="toc 8"/>
    <w:basedOn w:val="1"/>
    <w:next w:val="1"/>
    <w:unhideWhenUsed/>
    <w:qFormat/>
    <w:uiPriority w:val="0"/>
    <w:pPr>
      <w:ind w:left="2940" w:leftChars="1400"/>
    </w:pPr>
    <w:rPr>
      <w:rFonts w:ascii="Calibri" w:hAnsi="Calibri"/>
      <w:szCs w:val="22"/>
    </w:rPr>
  </w:style>
  <w:style w:type="paragraph" w:styleId="28">
    <w:name w:val="Date"/>
    <w:basedOn w:val="1"/>
    <w:next w:val="1"/>
    <w:link w:val="73"/>
    <w:qFormat/>
    <w:uiPriority w:val="0"/>
    <w:rPr>
      <w:sz w:val="24"/>
      <w:szCs w:val="20"/>
    </w:rPr>
  </w:style>
  <w:style w:type="paragraph" w:styleId="29">
    <w:name w:val="Body Text Indent 2"/>
    <w:basedOn w:val="1"/>
    <w:link w:val="74"/>
    <w:qFormat/>
    <w:uiPriority w:val="0"/>
    <w:pPr>
      <w:spacing w:after="120" w:line="480" w:lineRule="auto"/>
      <w:ind w:left="200" w:leftChars="200"/>
    </w:pPr>
  </w:style>
  <w:style w:type="paragraph" w:styleId="30">
    <w:name w:val="Balloon Text"/>
    <w:basedOn w:val="1"/>
    <w:link w:val="75"/>
    <w:qFormat/>
    <w:uiPriority w:val="0"/>
    <w:rPr>
      <w:sz w:val="18"/>
      <w:szCs w:val="18"/>
    </w:rPr>
  </w:style>
  <w:style w:type="paragraph" w:styleId="31">
    <w:name w:val="footer"/>
    <w:basedOn w:val="1"/>
    <w:link w:val="76"/>
    <w:qFormat/>
    <w:uiPriority w:val="0"/>
    <w:pPr>
      <w:tabs>
        <w:tab w:val="center" w:pos="4153"/>
        <w:tab w:val="right" w:pos="8306"/>
      </w:tabs>
      <w:snapToGrid w:val="0"/>
      <w:jc w:val="left"/>
    </w:pPr>
    <w:rPr>
      <w:sz w:val="18"/>
      <w:szCs w:val="20"/>
    </w:rPr>
  </w:style>
  <w:style w:type="paragraph" w:styleId="32">
    <w:name w:val="header"/>
    <w:basedOn w:val="1"/>
    <w:link w:val="77"/>
    <w:qFormat/>
    <w:uiPriority w:val="0"/>
    <w:pPr>
      <w:pBdr>
        <w:bottom w:val="single" w:color="auto" w:sz="6" w:space="1"/>
      </w:pBdr>
      <w:tabs>
        <w:tab w:val="center" w:pos="4153"/>
        <w:tab w:val="right" w:pos="8306"/>
      </w:tabs>
      <w:snapToGrid w:val="0"/>
      <w:jc w:val="center"/>
    </w:pPr>
    <w:rPr>
      <w:sz w:val="18"/>
      <w:szCs w:val="20"/>
    </w:rPr>
  </w:style>
  <w:style w:type="paragraph" w:styleId="33">
    <w:name w:val="toc 1"/>
    <w:basedOn w:val="1"/>
    <w:next w:val="1"/>
    <w:unhideWhenUsed/>
    <w:qFormat/>
    <w:uiPriority w:val="39"/>
    <w:pPr>
      <w:widowControl/>
      <w:spacing w:after="100" w:line="259" w:lineRule="auto"/>
      <w:jc w:val="left"/>
    </w:pPr>
    <w:rPr>
      <w:rFonts w:ascii="Calibri" w:hAnsi="Calibri"/>
      <w:kern w:val="0"/>
      <w:sz w:val="22"/>
      <w:szCs w:val="22"/>
    </w:rPr>
  </w:style>
  <w:style w:type="paragraph" w:styleId="34">
    <w:name w:val="toc 4"/>
    <w:basedOn w:val="1"/>
    <w:next w:val="1"/>
    <w:unhideWhenUsed/>
    <w:qFormat/>
    <w:uiPriority w:val="0"/>
    <w:pPr>
      <w:ind w:left="1260" w:leftChars="600"/>
    </w:pPr>
    <w:rPr>
      <w:rFonts w:ascii="Calibri" w:hAnsi="Calibri"/>
      <w:szCs w:val="22"/>
    </w:rPr>
  </w:style>
  <w:style w:type="paragraph" w:styleId="35">
    <w:name w:val="Subtitle"/>
    <w:basedOn w:val="1"/>
    <w:next w:val="1"/>
    <w:link w:val="78"/>
    <w:qFormat/>
    <w:uiPriority w:val="0"/>
    <w:pPr>
      <w:spacing w:before="240" w:after="60" w:line="312" w:lineRule="auto"/>
      <w:jc w:val="center"/>
      <w:outlineLvl w:val="1"/>
    </w:pPr>
    <w:rPr>
      <w:rFonts w:ascii="Cambria" w:hAnsi="Cambria"/>
      <w:b/>
      <w:bCs/>
      <w:kern w:val="28"/>
      <w:sz w:val="32"/>
      <w:szCs w:val="32"/>
    </w:rPr>
  </w:style>
  <w:style w:type="paragraph" w:styleId="36">
    <w:name w:val="List"/>
    <w:basedOn w:val="1"/>
    <w:qFormat/>
    <w:uiPriority w:val="0"/>
    <w:pPr>
      <w:widowControl/>
      <w:ind w:left="200" w:hanging="200" w:hangingChars="200"/>
      <w:textAlignment w:val="baseline"/>
    </w:pPr>
    <w:rPr>
      <w:rFonts w:ascii="宋体"/>
      <w:kern w:val="0"/>
      <w:sz w:val="34"/>
    </w:rPr>
  </w:style>
  <w:style w:type="paragraph" w:styleId="37">
    <w:name w:val="footnote text"/>
    <w:basedOn w:val="1"/>
    <w:qFormat/>
    <w:uiPriority w:val="0"/>
    <w:pPr>
      <w:snapToGrid w:val="0"/>
      <w:jc w:val="left"/>
    </w:pPr>
    <w:rPr>
      <w:sz w:val="18"/>
    </w:rPr>
  </w:style>
  <w:style w:type="paragraph" w:styleId="38">
    <w:name w:val="toc 6"/>
    <w:basedOn w:val="1"/>
    <w:next w:val="1"/>
    <w:unhideWhenUsed/>
    <w:qFormat/>
    <w:uiPriority w:val="0"/>
    <w:pPr>
      <w:ind w:left="2100" w:leftChars="1000"/>
    </w:pPr>
    <w:rPr>
      <w:rFonts w:ascii="Calibri" w:hAnsi="Calibri"/>
      <w:szCs w:val="22"/>
    </w:rPr>
  </w:style>
  <w:style w:type="paragraph" w:styleId="39">
    <w:name w:val="Body Text Indent 3"/>
    <w:basedOn w:val="1"/>
    <w:link w:val="79"/>
    <w:qFormat/>
    <w:uiPriority w:val="0"/>
    <w:pPr>
      <w:spacing w:after="120"/>
      <w:ind w:left="200" w:leftChars="200"/>
    </w:pPr>
    <w:rPr>
      <w:sz w:val="16"/>
      <w:szCs w:val="16"/>
    </w:rPr>
  </w:style>
  <w:style w:type="paragraph" w:styleId="40">
    <w:name w:val="toc 2"/>
    <w:basedOn w:val="1"/>
    <w:next w:val="1"/>
    <w:unhideWhenUsed/>
    <w:qFormat/>
    <w:uiPriority w:val="39"/>
    <w:pPr>
      <w:widowControl/>
      <w:spacing w:after="100" w:line="259" w:lineRule="auto"/>
      <w:ind w:left="220"/>
      <w:jc w:val="left"/>
    </w:pPr>
    <w:rPr>
      <w:rFonts w:ascii="Calibri" w:hAnsi="Calibri"/>
      <w:kern w:val="0"/>
      <w:sz w:val="22"/>
      <w:szCs w:val="22"/>
    </w:rPr>
  </w:style>
  <w:style w:type="paragraph" w:styleId="41">
    <w:name w:val="toc 9"/>
    <w:basedOn w:val="1"/>
    <w:next w:val="1"/>
    <w:unhideWhenUsed/>
    <w:qFormat/>
    <w:uiPriority w:val="0"/>
    <w:pPr>
      <w:ind w:left="3360" w:leftChars="1600"/>
    </w:pPr>
    <w:rPr>
      <w:rFonts w:ascii="Calibri" w:hAnsi="Calibri"/>
      <w:szCs w:val="22"/>
    </w:rPr>
  </w:style>
  <w:style w:type="paragraph" w:styleId="42">
    <w:name w:val="Normal (Web)"/>
    <w:basedOn w:val="1"/>
    <w:qFormat/>
    <w:uiPriority w:val="0"/>
    <w:pPr>
      <w:widowControl/>
      <w:spacing w:before="100" w:beforeAutospacing="1" w:after="100" w:afterAutospacing="1"/>
      <w:jc w:val="left"/>
    </w:pPr>
    <w:rPr>
      <w:rFonts w:ascii="宋体"/>
      <w:kern w:val="0"/>
      <w:sz w:val="18"/>
      <w:szCs w:val="18"/>
    </w:rPr>
  </w:style>
  <w:style w:type="paragraph" w:styleId="43">
    <w:name w:val="Title"/>
    <w:basedOn w:val="1"/>
    <w:next w:val="1"/>
    <w:link w:val="80"/>
    <w:qFormat/>
    <w:uiPriority w:val="0"/>
    <w:pPr>
      <w:spacing w:before="240" w:after="60"/>
      <w:jc w:val="center"/>
      <w:outlineLvl w:val="0"/>
    </w:pPr>
    <w:rPr>
      <w:rFonts w:ascii="Calibri Light" w:hAnsi="Calibri Light"/>
      <w:b/>
      <w:bCs/>
      <w:sz w:val="32"/>
      <w:szCs w:val="32"/>
    </w:rPr>
  </w:style>
  <w:style w:type="paragraph" w:styleId="44">
    <w:name w:val="annotation subject"/>
    <w:basedOn w:val="17"/>
    <w:next w:val="17"/>
    <w:link w:val="81"/>
    <w:qFormat/>
    <w:uiPriority w:val="0"/>
    <w:pPr>
      <w:autoSpaceDE/>
      <w:autoSpaceDN/>
      <w:adjustRightInd/>
    </w:pPr>
    <w:rPr>
      <w:rFonts w:ascii="宋体"/>
      <w:b/>
      <w:bCs/>
      <w:sz w:val="28"/>
      <w:szCs w:val="20"/>
    </w:rPr>
  </w:style>
  <w:style w:type="paragraph" w:styleId="45">
    <w:name w:val="Body Text First Indent"/>
    <w:basedOn w:val="19"/>
    <w:link w:val="82"/>
    <w:qFormat/>
    <w:uiPriority w:val="99"/>
    <w:pPr>
      <w:adjustRightInd/>
      <w:spacing w:after="120" w:line="240" w:lineRule="auto"/>
      <w:ind w:left="0" w:leftChars="0" w:right="0" w:rightChars="0" w:firstLine="420" w:firstLineChars="100"/>
      <w:jc w:val="both"/>
      <w:textAlignment w:val="auto"/>
    </w:pPr>
    <w:rPr>
      <w:rFonts w:ascii="宋体"/>
      <w:color w:val="FF0000"/>
      <w:kern w:val="2"/>
      <w:sz w:val="34"/>
    </w:rPr>
  </w:style>
  <w:style w:type="paragraph" w:styleId="46">
    <w:name w:val="Body Text First Indent 2"/>
    <w:basedOn w:val="20"/>
    <w:link w:val="83"/>
    <w:qFormat/>
    <w:uiPriority w:val="0"/>
    <w:pPr>
      <w:spacing w:after="120"/>
      <w:ind w:left="420" w:leftChars="200" w:firstLine="420" w:firstLineChars="200"/>
    </w:pPr>
    <w:rPr>
      <w:sz w:val="21"/>
      <w:szCs w:val="24"/>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0"/>
    <w:rPr>
      <w:b/>
      <w:bCs/>
    </w:rPr>
  </w:style>
  <w:style w:type="character" w:styleId="51">
    <w:name w:val="page number"/>
    <w:qFormat/>
    <w:uiPriority w:val="0"/>
  </w:style>
  <w:style w:type="character" w:styleId="52">
    <w:name w:val="FollowedHyperlink"/>
    <w:unhideWhenUsed/>
    <w:qFormat/>
    <w:uiPriority w:val="0"/>
    <w:rPr>
      <w:color w:val="954F72"/>
      <w:u w:val="single"/>
    </w:rPr>
  </w:style>
  <w:style w:type="character" w:styleId="53">
    <w:name w:val="Emphasis"/>
    <w:qFormat/>
    <w:uiPriority w:val="0"/>
    <w:rPr>
      <w:i/>
      <w:iCs/>
    </w:rPr>
  </w:style>
  <w:style w:type="character" w:styleId="54">
    <w:name w:val="Hyperlink"/>
    <w:unhideWhenUsed/>
    <w:qFormat/>
    <w:uiPriority w:val="99"/>
    <w:rPr>
      <w:color w:val="0563C1"/>
      <w:u w:val="single"/>
    </w:rPr>
  </w:style>
  <w:style w:type="character" w:styleId="55">
    <w:name w:val="annotation reference"/>
    <w:qFormat/>
    <w:uiPriority w:val="0"/>
    <w:rPr>
      <w:rFonts w:cs="Times New Roman"/>
      <w:sz w:val="21"/>
      <w:szCs w:val="21"/>
    </w:rPr>
  </w:style>
  <w:style w:type="character" w:styleId="56">
    <w:name w:val="footnote reference"/>
    <w:qFormat/>
    <w:uiPriority w:val="0"/>
    <w:rPr>
      <w:vertAlign w:val="superscript"/>
    </w:rPr>
  </w:style>
  <w:style w:type="character" w:customStyle="1" w:styleId="57">
    <w:name w:val="标题 1 字符"/>
    <w:link w:val="4"/>
    <w:qFormat/>
    <w:uiPriority w:val="0"/>
    <w:rPr>
      <w:b/>
      <w:bCs/>
      <w:kern w:val="44"/>
      <w:sz w:val="44"/>
      <w:szCs w:val="44"/>
    </w:rPr>
  </w:style>
  <w:style w:type="character" w:customStyle="1" w:styleId="58">
    <w:name w:val="标题 2 字符"/>
    <w:link w:val="5"/>
    <w:qFormat/>
    <w:uiPriority w:val="0"/>
    <w:rPr>
      <w:rFonts w:ascii="Arial" w:hAnsi="Arial"/>
      <w:b/>
      <w:bCs/>
      <w:kern w:val="2"/>
      <w:sz w:val="32"/>
      <w:szCs w:val="32"/>
    </w:rPr>
  </w:style>
  <w:style w:type="character" w:customStyle="1" w:styleId="59">
    <w:name w:val="标题 3 字符"/>
    <w:link w:val="6"/>
    <w:qFormat/>
    <w:uiPriority w:val="0"/>
    <w:rPr>
      <w:b/>
      <w:bCs/>
      <w:kern w:val="2"/>
      <w:sz w:val="24"/>
      <w:szCs w:val="32"/>
    </w:rPr>
  </w:style>
  <w:style w:type="character" w:customStyle="1" w:styleId="60">
    <w:name w:val="标题 4 字符"/>
    <w:link w:val="7"/>
    <w:qFormat/>
    <w:uiPriority w:val="0"/>
    <w:rPr>
      <w:rFonts w:ascii="Arial" w:hAnsi="Arial" w:eastAsia="黑体"/>
      <w:b/>
      <w:bCs/>
      <w:kern w:val="2"/>
      <w:sz w:val="28"/>
      <w:szCs w:val="28"/>
    </w:rPr>
  </w:style>
  <w:style w:type="character" w:customStyle="1" w:styleId="61">
    <w:name w:val="标题 5 字符"/>
    <w:link w:val="8"/>
    <w:qFormat/>
    <w:uiPriority w:val="0"/>
    <w:rPr>
      <w:b/>
      <w:bCs/>
      <w:kern w:val="2"/>
      <w:sz w:val="28"/>
      <w:szCs w:val="28"/>
    </w:rPr>
  </w:style>
  <w:style w:type="character" w:customStyle="1" w:styleId="62">
    <w:name w:val="标题 6 字符"/>
    <w:link w:val="9"/>
    <w:qFormat/>
    <w:uiPriority w:val="0"/>
    <w:rPr>
      <w:rFonts w:ascii="Cambria" w:hAnsi="Cambria"/>
      <w:b/>
      <w:bCs/>
      <w:kern w:val="2"/>
      <w:sz w:val="24"/>
      <w:szCs w:val="24"/>
    </w:rPr>
  </w:style>
  <w:style w:type="character" w:customStyle="1" w:styleId="63">
    <w:name w:val="标题 7 字符"/>
    <w:link w:val="10"/>
    <w:qFormat/>
    <w:uiPriority w:val="0"/>
    <w:rPr>
      <w:rFonts w:ascii="Calibri" w:hAnsi="Calibri"/>
      <w:b/>
      <w:bCs/>
      <w:kern w:val="2"/>
      <w:sz w:val="24"/>
      <w:szCs w:val="24"/>
    </w:rPr>
  </w:style>
  <w:style w:type="character" w:customStyle="1" w:styleId="64">
    <w:name w:val="标题 8 字符"/>
    <w:link w:val="11"/>
    <w:qFormat/>
    <w:uiPriority w:val="0"/>
    <w:rPr>
      <w:rFonts w:ascii="Cambria" w:hAnsi="Cambria"/>
      <w:kern w:val="2"/>
      <w:sz w:val="24"/>
      <w:szCs w:val="24"/>
    </w:rPr>
  </w:style>
  <w:style w:type="character" w:customStyle="1" w:styleId="65">
    <w:name w:val="标题 9 字符"/>
    <w:link w:val="12"/>
    <w:qFormat/>
    <w:uiPriority w:val="0"/>
    <w:rPr>
      <w:rFonts w:ascii="Cambria" w:hAnsi="Cambria"/>
      <w:kern w:val="2"/>
      <w:sz w:val="21"/>
      <w:szCs w:val="21"/>
    </w:rPr>
  </w:style>
  <w:style w:type="character" w:customStyle="1" w:styleId="66">
    <w:name w:val="正文缩进 字符"/>
    <w:link w:val="14"/>
    <w:qFormat/>
    <w:uiPriority w:val="0"/>
    <w:rPr>
      <w:kern w:val="2"/>
      <w:sz w:val="21"/>
      <w:szCs w:val="24"/>
    </w:rPr>
  </w:style>
  <w:style w:type="character" w:customStyle="1" w:styleId="67">
    <w:name w:val="文档结构图 字符"/>
    <w:link w:val="16"/>
    <w:qFormat/>
    <w:uiPriority w:val="0"/>
    <w:rPr>
      <w:kern w:val="2"/>
      <w:sz w:val="21"/>
      <w:szCs w:val="24"/>
      <w:shd w:val="clear" w:color="auto" w:fill="000080"/>
    </w:rPr>
  </w:style>
  <w:style w:type="character" w:customStyle="1" w:styleId="68">
    <w:name w:val="批注文字 字符"/>
    <w:link w:val="17"/>
    <w:qFormat/>
    <w:uiPriority w:val="0"/>
    <w:rPr>
      <w:sz w:val="21"/>
      <w:szCs w:val="21"/>
    </w:rPr>
  </w:style>
  <w:style w:type="character" w:customStyle="1" w:styleId="69">
    <w:name w:val="称呼 字符"/>
    <w:link w:val="18"/>
    <w:qFormat/>
    <w:uiPriority w:val="0"/>
    <w:rPr>
      <w:rFonts w:ascii="宋体" w:eastAsia="黑体"/>
      <w:kern w:val="2"/>
      <w:sz w:val="34"/>
    </w:rPr>
  </w:style>
  <w:style w:type="character" w:customStyle="1" w:styleId="70">
    <w:name w:val="正文文本 字符"/>
    <w:link w:val="19"/>
    <w:qFormat/>
    <w:uiPriority w:val="0"/>
  </w:style>
  <w:style w:type="character" w:customStyle="1" w:styleId="71">
    <w:name w:val="正文文本缩进 字符"/>
    <w:link w:val="20"/>
    <w:qFormat/>
    <w:uiPriority w:val="0"/>
    <w:rPr>
      <w:kern w:val="2"/>
      <w:sz w:val="32"/>
    </w:rPr>
  </w:style>
  <w:style w:type="character" w:customStyle="1" w:styleId="72">
    <w:name w:val="纯文本 字符"/>
    <w:link w:val="26"/>
    <w:qFormat/>
    <w:uiPriority w:val="0"/>
    <w:rPr>
      <w:rFonts w:ascii="宋体" w:hAnsi="Courier New"/>
      <w:kern w:val="2"/>
      <w:sz w:val="21"/>
    </w:rPr>
  </w:style>
  <w:style w:type="character" w:customStyle="1" w:styleId="73">
    <w:name w:val="日期 字符"/>
    <w:link w:val="28"/>
    <w:qFormat/>
    <w:uiPriority w:val="0"/>
    <w:rPr>
      <w:kern w:val="2"/>
      <w:sz w:val="24"/>
    </w:rPr>
  </w:style>
  <w:style w:type="character" w:customStyle="1" w:styleId="74">
    <w:name w:val="正文文本缩进 2 字符"/>
    <w:link w:val="29"/>
    <w:qFormat/>
    <w:uiPriority w:val="0"/>
    <w:rPr>
      <w:kern w:val="2"/>
      <w:sz w:val="21"/>
      <w:szCs w:val="24"/>
    </w:rPr>
  </w:style>
  <w:style w:type="character" w:customStyle="1" w:styleId="75">
    <w:name w:val="批注框文本 字符"/>
    <w:link w:val="30"/>
    <w:qFormat/>
    <w:uiPriority w:val="0"/>
    <w:rPr>
      <w:kern w:val="2"/>
      <w:sz w:val="18"/>
      <w:szCs w:val="18"/>
    </w:rPr>
  </w:style>
  <w:style w:type="character" w:customStyle="1" w:styleId="76">
    <w:name w:val="页脚 字符"/>
    <w:link w:val="31"/>
    <w:qFormat/>
    <w:uiPriority w:val="0"/>
    <w:rPr>
      <w:kern w:val="2"/>
      <w:sz w:val="18"/>
    </w:rPr>
  </w:style>
  <w:style w:type="character" w:customStyle="1" w:styleId="77">
    <w:name w:val="页眉 字符"/>
    <w:link w:val="32"/>
    <w:qFormat/>
    <w:uiPriority w:val="0"/>
    <w:rPr>
      <w:kern w:val="2"/>
      <w:sz w:val="18"/>
    </w:rPr>
  </w:style>
  <w:style w:type="character" w:customStyle="1" w:styleId="78">
    <w:name w:val="副标题 字符"/>
    <w:link w:val="35"/>
    <w:qFormat/>
    <w:uiPriority w:val="0"/>
    <w:rPr>
      <w:rFonts w:ascii="Cambria" w:hAnsi="Cambria"/>
      <w:b/>
      <w:bCs/>
      <w:kern w:val="28"/>
      <w:sz w:val="32"/>
      <w:szCs w:val="32"/>
    </w:rPr>
  </w:style>
  <w:style w:type="character" w:customStyle="1" w:styleId="79">
    <w:name w:val="正文文本缩进 3 字符"/>
    <w:link w:val="39"/>
    <w:qFormat/>
    <w:uiPriority w:val="0"/>
    <w:rPr>
      <w:kern w:val="2"/>
      <w:sz w:val="16"/>
      <w:szCs w:val="16"/>
    </w:rPr>
  </w:style>
  <w:style w:type="character" w:customStyle="1" w:styleId="80">
    <w:name w:val="标题 字符"/>
    <w:link w:val="43"/>
    <w:qFormat/>
    <w:uiPriority w:val="0"/>
    <w:rPr>
      <w:rFonts w:ascii="Calibri Light" w:hAnsi="Calibri Light"/>
      <w:b/>
      <w:bCs/>
      <w:kern w:val="2"/>
      <w:sz w:val="32"/>
      <w:szCs w:val="32"/>
    </w:rPr>
  </w:style>
  <w:style w:type="character" w:customStyle="1" w:styleId="81">
    <w:name w:val="批注主题 字符"/>
    <w:link w:val="44"/>
    <w:qFormat/>
    <w:uiPriority w:val="0"/>
    <w:rPr>
      <w:rFonts w:ascii="宋体"/>
      <w:b/>
      <w:bCs/>
      <w:sz w:val="28"/>
    </w:rPr>
  </w:style>
  <w:style w:type="character" w:customStyle="1" w:styleId="82">
    <w:name w:val="正文文本首行缩进 字符"/>
    <w:link w:val="45"/>
    <w:qFormat/>
    <w:uiPriority w:val="99"/>
    <w:rPr>
      <w:rFonts w:ascii="宋体"/>
      <w:color w:val="FF0000"/>
      <w:kern w:val="2"/>
      <w:sz w:val="34"/>
    </w:rPr>
  </w:style>
  <w:style w:type="character" w:customStyle="1" w:styleId="83">
    <w:name w:val="正文文本首行缩进 2 字符"/>
    <w:link w:val="46"/>
    <w:qFormat/>
    <w:uiPriority w:val="0"/>
    <w:rPr>
      <w:kern w:val="2"/>
      <w:sz w:val="21"/>
      <w:szCs w:val="24"/>
    </w:rPr>
  </w:style>
  <w:style w:type="character" w:customStyle="1" w:styleId="84">
    <w:name w:val="UserStyle_141"/>
    <w:qFormat/>
    <w:uiPriority w:val="0"/>
  </w:style>
  <w:style w:type="character" w:customStyle="1" w:styleId="85">
    <w:name w:val="NormalCharacter"/>
    <w:qFormat/>
    <w:uiPriority w:val="0"/>
  </w:style>
  <w:style w:type="character" w:customStyle="1" w:styleId="86">
    <w:name w:val="页眉 Char1"/>
    <w:semiHidden/>
    <w:qFormat/>
    <w:uiPriority w:val="99"/>
    <w:rPr>
      <w:kern w:val="2"/>
      <w:sz w:val="18"/>
      <w:szCs w:val="18"/>
    </w:rPr>
  </w:style>
  <w:style w:type="character" w:customStyle="1" w:styleId="87">
    <w:name w:val="UserStyle_52"/>
    <w:qFormat/>
    <w:uiPriority w:val="0"/>
  </w:style>
  <w:style w:type="character" w:customStyle="1" w:styleId="88">
    <w:name w:val="UserStyle_87"/>
    <w:link w:val="89"/>
    <w:qFormat/>
    <w:uiPriority w:val="0"/>
    <w:rPr>
      <w:kern w:val="2"/>
      <w:sz w:val="21"/>
      <w:szCs w:val="24"/>
    </w:rPr>
  </w:style>
  <w:style w:type="paragraph" w:customStyle="1" w:styleId="89">
    <w:name w:val="BodyText2"/>
    <w:basedOn w:val="1"/>
    <w:link w:val="88"/>
    <w:qFormat/>
    <w:uiPriority w:val="0"/>
    <w:pPr>
      <w:widowControl/>
      <w:spacing w:after="120" w:line="480" w:lineRule="auto"/>
      <w:textAlignment w:val="baseline"/>
    </w:pPr>
  </w:style>
  <w:style w:type="character" w:customStyle="1" w:styleId="90">
    <w:name w:val="引用 字符"/>
    <w:link w:val="91"/>
    <w:qFormat/>
    <w:uiPriority w:val="0"/>
    <w:rPr>
      <w:i/>
      <w:iCs/>
      <w:color w:val="000000"/>
      <w:kern w:val="2"/>
      <w:sz w:val="21"/>
      <w:szCs w:val="22"/>
    </w:rPr>
  </w:style>
  <w:style w:type="paragraph" w:styleId="91">
    <w:name w:val="Quote"/>
    <w:basedOn w:val="1"/>
    <w:next w:val="1"/>
    <w:link w:val="90"/>
    <w:qFormat/>
    <w:uiPriority w:val="0"/>
    <w:rPr>
      <w:i/>
      <w:iCs/>
      <w:color w:val="000000"/>
      <w:szCs w:val="22"/>
    </w:rPr>
  </w:style>
  <w:style w:type="character" w:customStyle="1" w:styleId="92">
    <w:name w:val="批注文字 Char Char"/>
    <w:qFormat/>
    <w:uiPriority w:val="0"/>
    <w:rPr>
      <w:rFonts w:ascii="宋体" w:hAnsi="Times New Roman" w:eastAsia="宋体" w:cs="Times New Roman"/>
      <w:sz w:val="28"/>
      <w:szCs w:val="20"/>
    </w:rPr>
  </w:style>
  <w:style w:type="character" w:customStyle="1" w:styleId="93">
    <w:name w:val="UserStyle_100"/>
    <w:link w:val="94"/>
    <w:qFormat/>
    <w:uiPriority w:val="0"/>
    <w:rPr>
      <w:rFonts w:ascii="Arial" w:hAnsi="Arial" w:eastAsia="黑体"/>
      <w:b/>
      <w:bCs/>
      <w:sz w:val="32"/>
      <w:szCs w:val="32"/>
    </w:rPr>
  </w:style>
  <w:style w:type="paragraph" w:customStyle="1" w:styleId="94">
    <w:name w:val="Heading2"/>
    <w:basedOn w:val="1"/>
    <w:next w:val="1"/>
    <w:link w:val="93"/>
    <w:qFormat/>
    <w:uiPriority w:val="0"/>
    <w:pPr>
      <w:keepNext/>
      <w:keepLines/>
      <w:widowControl/>
      <w:spacing w:before="260" w:after="260" w:line="416" w:lineRule="auto"/>
      <w:textAlignment w:val="baseline"/>
    </w:pPr>
    <w:rPr>
      <w:rFonts w:ascii="Arial" w:hAnsi="Arial" w:eastAsia="黑体"/>
      <w:b/>
      <w:bCs/>
      <w:kern w:val="0"/>
      <w:sz w:val="32"/>
      <w:szCs w:val="32"/>
    </w:rPr>
  </w:style>
  <w:style w:type="character" w:customStyle="1" w:styleId="95">
    <w:name w:val="UserStyle_157"/>
    <w:qFormat/>
    <w:uiPriority w:val="0"/>
    <w:rPr>
      <w:rFonts w:ascii="Arial" w:hAnsi="Arial" w:eastAsia="黑体"/>
      <w:b/>
      <w:kern w:val="2"/>
      <w:sz w:val="28"/>
      <w:lang w:bidi="ar-SA"/>
    </w:rPr>
  </w:style>
  <w:style w:type="character" w:customStyle="1" w:styleId="96">
    <w:name w:val="UserStyle_154"/>
    <w:link w:val="97"/>
    <w:qFormat/>
    <w:uiPriority w:val="0"/>
    <w:rPr>
      <w:kern w:val="2"/>
      <w:sz w:val="21"/>
    </w:rPr>
  </w:style>
  <w:style w:type="paragraph" w:customStyle="1" w:styleId="97">
    <w:name w:val="NormalIndent"/>
    <w:basedOn w:val="1"/>
    <w:link w:val="96"/>
    <w:qFormat/>
    <w:uiPriority w:val="0"/>
    <w:pPr>
      <w:widowControl/>
      <w:ind w:firstLine="420"/>
      <w:textAlignment w:val="baseline"/>
    </w:pPr>
    <w:rPr>
      <w:szCs w:val="20"/>
    </w:rPr>
  </w:style>
  <w:style w:type="character" w:customStyle="1" w:styleId="98">
    <w:name w:val="UserStyle_110"/>
    <w:link w:val="99"/>
    <w:qFormat/>
    <w:uiPriority w:val="0"/>
    <w:rPr>
      <w:b/>
      <w:bCs/>
      <w:kern w:val="2"/>
      <w:sz w:val="24"/>
      <w:szCs w:val="24"/>
    </w:rPr>
  </w:style>
  <w:style w:type="paragraph" w:customStyle="1" w:styleId="99">
    <w:name w:val="BodyText3"/>
    <w:basedOn w:val="1"/>
    <w:link w:val="98"/>
    <w:qFormat/>
    <w:uiPriority w:val="0"/>
    <w:pPr>
      <w:widowControl/>
      <w:spacing w:line="500" w:lineRule="exact"/>
      <w:textAlignment w:val="baseline"/>
    </w:pPr>
    <w:rPr>
      <w:b/>
      <w:bCs/>
      <w:sz w:val="24"/>
    </w:rPr>
  </w:style>
  <w:style w:type="character" w:customStyle="1" w:styleId="100">
    <w:name w:val="UserStyle_101"/>
    <w:qFormat/>
    <w:uiPriority w:val="0"/>
  </w:style>
  <w:style w:type="character" w:customStyle="1" w:styleId="101">
    <w:name w:val="UserStyle_149"/>
    <w:link w:val="102"/>
    <w:qFormat/>
    <w:uiPriority w:val="0"/>
    <w:rPr>
      <w:rFonts w:ascii="Arial" w:hAnsi="Arial" w:eastAsia="黑体"/>
      <w:sz w:val="24"/>
    </w:rPr>
  </w:style>
  <w:style w:type="paragraph" w:customStyle="1" w:styleId="102">
    <w:name w:val="Heading8"/>
    <w:basedOn w:val="1"/>
    <w:next w:val="1"/>
    <w:link w:val="101"/>
    <w:qFormat/>
    <w:uiPriority w:val="0"/>
    <w:pPr>
      <w:keepNext/>
      <w:keepLines/>
      <w:widowControl/>
      <w:spacing w:before="240" w:after="64" w:line="320" w:lineRule="atLeast"/>
      <w:textAlignment w:val="baseline"/>
    </w:pPr>
    <w:rPr>
      <w:rFonts w:ascii="Arial" w:hAnsi="Arial" w:eastAsia="黑体"/>
      <w:kern w:val="0"/>
      <w:sz w:val="24"/>
      <w:szCs w:val="20"/>
    </w:rPr>
  </w:style>
  <w:style w:type="character" w:customStyle="1" w:styleId="103">
    <w:name w:val="UserStyle_19"/>
    <w:semiHidden/>
    <w:qFormat/>
    <w:uiPriority w:val="0"/>
    <w:rPr>
      <w:kern w:val="2"/>
      <w:sz w:val="21"/>
    </w:rPr>
  </w:style>
  <w:style w:type="character" w:customStyle="1" w:styleId="104">
    <w:name w:val="UserStyle_95"/>
    <w:qFormat/>
    <w:uiPriority w:val="0"/>
    <w:rPr>
      <w:kern w:val="2"/>
      <w:sz w:val="18"/>
      <w:szCs w:val="18"/>
    </w:rPr>
  </w:style>
  <w:style w:type="character" w:customStyle="1" w:styleId="105">
    <w:name w:val="文档结构图 Char2"/>
    <w:semiHidden/>
    <w:qFormat/>
    <w:uiPriority w:val="99"/>
    <w:rPr>
      <w:rFonts w:ascii="Microsoft YaHei UI" w:eastAsia="Microsoft YaHei UI"/>
      <w:kern w:val="2"/>
      <w:sz w:val="18"/>
      <w:szCs w:val="18"/>
    </w:rPr>
  </w:style>
  <w:style w:type="character" w:customStyle="1" w:styleId="106">
    <w:name w:val="UserStyle_114"/>
    <w:qFormat/>
    <w:uiPriority w:val="0"/>
    <w:rPr>
      <w:kern w:val="2"/>
      <w:sz w:val="18"/>
      <w:szCs w:val="18"/>
    </w:rPr>
  </w:style>
  <w:style w:type="character" w:customStyle="1" w:styleId="107">
    <w:name w:val="UserStyle_155"/>
    <w:qFormat/>
    <w:uiPriority w:val="0"/>
    <w:rPr>
      <w:rFonts w:cs="Times New Roman"/>
      <w:b/>
      <w:bCs/>
      <w:color w:val="333333"/>
      <w:sz w:val="18"/>
      <w:szCs w:val="18"/>
    </w:rPr>
  </w:style>
  <w:style w:type="character" w:customStyle="1" w:styleId="108">
    <w:name w:val="UserStyle_22"/>
    <w:qFormat/>
    <w:uiPriority w:val="0"/>
    <w:rPr>
      <w:sz w:val="24"/>
      <w:szCs w:val="24"/>
    </w:rPr>
  </w:style>
  <w:style w:type="character" w:customStyle="1" w:styleId="109">
    <w:name w:val="UserStyle_6"/>
    <w:qFormat/>
    <w:uiPriority w:val="0"/>
    <w:rPr>
      <w:rFonts w:ascii="Arial" w:hAnsi="Arial" w:eastAsia="黑体" w:cs="Times New Roman"/>
      <w:b/>
      <w:bCs/>
      <w:kern w:val="2"/>
      <w:sz w:val="32"/>
      <w:szCs w:val="32"/>
      <w:lang w:val="en-US" w:eastAsia="zh-CN" w:bidi="ar-SA"/>
    </w:rPr>
  </w:style>
  <w:style w:type="character" w:customStyle="1" w:styleId="110">
    <w:name w:val="纯文本 Char1"/>
    <w:qFormat/>
    <w:uiPriority w:val="0"/>
    <w:rPr>
      <w:rFonts w:ascii="宋体" w:hAnsi="Courier New" w:cs="Courier New"/>
      <w:kern w:val="2"/>
      <w:sz w:val="21"/>
      <w:szCs w:val="21"/>
    </w:rPr>
  </w:style>
  <w:style w:type="character" w:customStyle="1" w:styleId="111">
    <w:name w:val="UserStyle_71"/>
    <w:qFormat/>
    <w:uiPriority w:val="0"/>
  </w:style>
  <w:style w:type="character" w:customStyle="1" w:styleId="112">
    <w:name w:val="批注主题 Char1"/>
    <w:qFormat/>
    <w:uiPriority w:val="0"/>
    <w:rPr>
      <w:b/>
      <w:bCs/>
      <w:kern w:val="2"/>
      <w:sz w:val="21"/>
      <w:szCs w:val="22"/>
    </w:rPr>
  </w:style>
  <w:style w:type="character" w:customStyle="1" w:styleId="113">
    <w:name w:val="UserStyle_1"/>
    <w:link w:val="114"/>
    <w:qFormat/>
    <w:uiPriority w:val="0"/>
    <w:rPr>
      <w:b/>
      <w:sz w:val="28"/>
    </w:rPr>
  </w:style>
  <w:style w:type="paragraph" w:customStyle="1" w:styleId="114">
    <w:name w:val="Heading5"/>
    <w:basedOn w:val="1"/>
    <w:next w:val="1"/>
    <w:link w:val="113"/>
    <w:qFormat/>
    <w:uiPriority w:val="0"/>
    <w:pPr>
      <w:keepNext/>
      <w:keepLines/>
      <w:widowControl/>
      <w:spacing w:before="280" w:after="290" w:line="376" w:lineRule="atLeast"/>
      <w:textAlignment w:val="baseline"/>
    </w:pPr>
    <w:rPr>
      <w:b/>
      <w:kern w:val="0"/>
      <w:sz w:val="28"/>
      <w:szCs w:val="20"/>
    </w:rPr>
  </w:style>
  <w:style w:type="character" w:customStyle="1" w:styleId="115">
    <w:name w:val="UserStyle_137"/>
    <w:semiHidden/>
    <w:qFormat/>
    <w:locked/>
    <w:uiPriority w:val="0"/>
    <w:rPr>
      <w:rFonts w:ascii="Calibri" w:hAnsi="Calibri" w:eastAsia="宋体"/>
      <w:sz w:val="18"/>
      <w:szCs w:val="18"/>
    </w:rPr>
  </w:style>
  <w:style w:type="character" w:customStyle="1" w:styleId="116">
    <w:name w:val="UserStyle_40"/>
    <w:qFormat/>
    <w:uiPriority w:val="0"/>
    <w:rPr>
      <w:rFonts w:ascii="宋体" w:hAnsi="Courier New" w:eastAsia="宋体"/>
      <w:kern w:val="2"/>
      <w:sz w:val="24"/>
      <w:lang w:val="en-US" w:eastAsia="zh-CN" w:bidi="ar-SA"/>
    </w:rPr>
  </w:style>
  <w:style w:type="character" w:customStyle="1" w:styleId="117">
    <w:name w:val="UserStyle_93"/>
    <w:link w:val="118"/>
    <w:qFormat/>
    <w:uiPriority w:val="0"/>
    <w:rPr>
      <w:kern w:val="2"/>
      <w:sz w:val="32"/>
    </w:rPr>
  </w:style>
  <w:style w:type="paragraph" w:customStyle="1" w:styleId="118">
    <w:name w:val="BodyTextIndent"/>
    <w:basedOn w:val="1"/>
    <w:link w:val="117"/>
    <w:qFormat/>
    <w:uiPriority w:val="0"/>
    <w:pPr>
      <w:widowControl/>
      <w:ind w:firstLine="795"/>
      <w:textAlignment w:val="baseline"/>
    </w:pPr>
    <w:rPr>
      <w:sz w:val="32"/>
      <w:szCs w:val="20"/>
    </w:rPr>
  </w:style>
  <w:style w:type="character" w:customStyle="1" w:styleId="119">
    <w:name w:val="UserStyle_28"/>
    <w:semiHidden/>
    <w:qFormat/>
    <w:uiPriority w:val="0"/>
    <w:rPr>
      <w:rFonts w:ascii="Times New Roman" w:hAnsi="Times New Roman" w:eastAsia="宋体"/>
      <w:szCs w:val="20"/>
    </w:rPr>
  </w:style>
  <w:style w:type="character" w:customStyle="1" w:styleId="120">
    <w:name w:val="UserStyle_35"/>
    <w:qFormat/>
    <w:uiPriority w:val="0"/>
    <w:rPr>
      <w:rFonts w:ascii="Arial" w:hAnsi="Arial" w:eastAsia="宋体"/>
      <w:b/>
      <w:kern w:val="2"/>
      <w:sz w:val="28"/>
      <w:lang w:val="en-US" w:eastAsia="zh-CN"/>
    </w:rPr>
  </w:style>
  <w:style w:type="character" w:customStyle="1" w:styleId="121">
    <w:name w:val="UserStyle_51"/>
    <w:semiHidden/>
    <w:qFormat/>
    <w:locked/>
    <w:uiPriority w:val="0"/>
    <w:rPr>
      <w:rFonts w:ascii="Calibri" w:hAnsi="Calibri" w:eastAsia="宋体"/>
      <w:sz w:val="18"/>
      <w:szCs w:val="18"/>
    </w:rPr>
  </w:style>
  <w:style w:type="character" w:customStyle="1" w:styleId="122">
    <w:name w:val="页码1"/>
    <w:qFormat/>
    <w:uiPriority w:val="0"/>
  </w:style>
  <w:style w:type="character" w:customStyle="1" w:styleId="123">
    <w:name w:val="HtmlDfn"/>
    <w:qFormat/>
    <w:uiPriority w:val="0"/>
  </w:style>
  <w:style w:type="character" w:customStyle="1" w:styleId="124">
    <w:name w:val="批注框文本 Char2"/>
    <w:semiHidden/>
    <w:qFormat/>
    <w:uiPriority w:val="99"/>
    <w:rPr>
      <w:kern w:val="2"/>
      <w:sz w:val="18"/>
      <w:szCs w:val="18"/>
    </w:rPr>
  </w:style>
  <w:style w:type="character" w:customStyle="1" w:styleId="125">
    <w:name w:val="UserStyle_152"/>
    <w:link w:val="126"/>
    <w:qFormat/>
    <w:uiPriority w:val="0"/>
    <w:rPr>
      <w:rFonts w:ascii="Arial" w:hAnsi="Arial" w:eastAsia="黑体"/>
      <w:b/>
      <w:sz w:val="24"/>
    </w:rPr>
  </w:style>
  <w:style w:type="paragraph" w:customStyle="1" w:styleId="126">
    <w:name w:val="Heading6"/>
    <w:basedOn w:val="1"/>
    <w:next w:val="1"/>
    <w:link w:val="125"/>
    <w:qFormat/>
    <w:uiPriority w:val="0"/>
    <w:pPr>
      <w:keepNext/>
      <w:keepLines/>
      <w:widowControl/>
      <w:spacing w:before="240" w:after="64" w:line="320" w:lineRule="atLeast"/>
      <w:textAlignment w:val="baseline"/>
    </w:pPr>
    <w:rPr>
      <w:rFonts w:ascii="Arial" w:hAnsi="Arial" w:eastAsia="黑体"/>
      <w:b/>
      <w:kern w:val="0"/>
      <w:sz w:val="24"/>
      <w:szCs w:val="20"/>
    </w:rPr>
  </w:style>
  <w:style w:type="character" w:customStyle="1" w:styleId="127">
    <w:name w:val="明显引用 字符"/>
    <w:link w:val="128"/>
    <w:qFormat/>
    <w:uiPriority w:val="0"/>
    <w:rPr>
      <w:b/>
      <w:bCs/>
      <w:i/>
      <w:iCs/>
      <w:color w:val="4F81BD"/>
      <w:kern w:val="2"/>
      <w:sz w:val="21"/>
      <w:szCs w:val="22"/>
    </w:rPr>
  </w:style>
  <w:style w:type="paragraph" w:styleId="128">
    <w:name w:val="Intense Quote"/>
    <w:basedOn w:val="1"/>
    <w:next w:val="1"/>
    <w:link w:val="127"/>
    <w:qFormat/>
    <w:uiPriority w:val="0"/>
    <w:pPr>
      <w:pBdr>
        <w:bottom w:val="single" w:color="4F81BD" w:sz="4" w:space="4"/>
      </w:pBdr>
      <w:spacing w:before="200" w:after="280"/>
      <w:ind w:left="936" w:right="936"/>
    </w:pPr>
    <w:rPr>
      <w:b/>
      <w:bCs/>
      <w:i/>
      <w:iCs/>
      <w:color w:val="4F81BD"/>
      <w:szCs w:val="22"/>
    </w:rPr>
  </w:style>
  <w:style w:type="character" w:customStyle="1" w:styleId="129">
    <w:name w:val="UserStyle_135"/>
    <w:link w:val="130"/>
    <w:qFormat/>
    <w:uiPriority w:val="0"/>
    <w:rPr>
      <w:kern w:val="2"/>
      <w:sz w:val="24"/>
      <w:szCs w:val="24"/>
    </w:rPr>
  </w:style>
  <w:style w:type="paragraph" w:customStyle="1" w:styleId="130">
    <w:name w:val="UserStyle_136"/>
    <w:basedOn w:val="1"/>
    <w:link w:val="129"/>
    <w:qFormat/>
    <w:uiPriority w:val="0"/>
    <w:pPr>
      <w:widowControl/>
      <w:spacing w:line="360" w:lineRule="auto"/>
      <w:ind w:firstLine="420"/>
      <w:textAlignment w:val="baseline"/>
    </w:pPr>
    <w:rPr>
      <w:sz w:val="24"/>
    </w:rPr>
  </w:style>
  <w:style w:type="character" w:customStyle="1" w:styleId="131">
    <w:name w:val="HtmlVar"/>
    <w:qFormat/>
    <w:uiPriority w:val="0"/>
  </w:style>
  <w:style w:type="character" w:customStyle="1" w:styleId="132">
    <w:name w:val="UserStyle_73"/>
    <w:semiHidden/>
    <w:qFormat/>
    <w:uiPriority w:val="0"/>
    <w:rPr>
      <w:rFonts w:ascii="Times New Roman" w:hAnsi="Times New Roman" w:eastAsia="宋体"/>
      <w:sz w:val="18"/>
      <w:szCs w:val="18"/>
    </w:rPr>
  </w:style>
  <w:style w:type="character" w:customStyle="1" w:styleId="133">
    <w:name w:val="apple-converted-space"/>
    <w:qFormat/>
    <w:uiPriority w:val="0"/>
    <w:rPr>
      <w:rFonts w:ascii="仿宋_GB2312" w:eastAsia="仿宋_GB2312"/>
      <w:kern w:val="2"/>
      <w:sz w:val="24"/>
      <w:szCs w:val="24"/>
      <w:lang w:val="en-US" w:eastAsia="zh-CN" w:bidi="ar-SA"/>
    </w:rPr>
  </w:style>
  <w:style w:type="character" w:customStyle="1" w:styleId="134">
    <w:name w:val="UserStyle_18"/>
    <w:qFormat/>
    <w:uiPriority w:val="0"/>
    <w:rPr>
      <w:rFonts w:ascii="宋体" w:hAnsi="宋体" w:eastAsia="宋体"/>
      <w:kern w:val="2"/>
      <w:sz w:val="18"/>
      <w:szCs w:val="18"/>
    </w:rPr>
  </w:style>
  <w:style w:type="character" w:customStyle="1" w:styleId="135">
    <w:name w:val="UserStyle_84"/>
    <w:qFormat/>
    <w:uiPriority w:val="0"/>
    <w:rPr>
      <w:sz w:val="22"/>
      <w:szCs w:val="22"/>
    </w:rPr>
  </w:style>
  <w:style w:type="character" w:customStyle="1" w:styleId="136">
    <w:name w:val="UserStyle_146"/>
    <w:qFormat/>
    <w:uiPriority w:val="0"/>
    <w:rPr>
      <w:rFonts w:ascii="宋体" w:hAnsi="宋体" w:eastAsia="宋体"/>
      <w:color w:val="000000"/>
      <w:sz w:val="20"/>
      <w:szCs w:val="20"/>
    </w:rPr>
  </w:style>
  <w:style w:type="character" w:customStyle="1" w:styleId="137">
    <w:name w:val="明显参考1"/>
    <w:qFormat/>
    <w:uiPriority w:val="0"/>
    <w:rPr>
      <w:b/>
      <w:bCs/>
      <w:smallCaps/>
      <w:color w:val="C0504D"/>
      <w:spacing w:val="5"/>
      <w:u w:val="single"/>
    </w:rPr>
  </w:style>
  <w:style w:type="character" w:customStyle="1" w:styleId="138">
    <w:name w:val="UserStyle_158"/>
    <w:link w:val="139"/>
    <w:qFormat/>
    <w:uiPriority w:val="0"/>
    <w:rPr>
      <w:rFonts w:ascii="仿宋_GB2312" w:eastAsia="仿宋_GB2312"/>
      <w:b/>
      <w:sz w:val="32"/>
      <w:szCs w:val="32"/>
    </w:rPr>
  </w:style>
  <w:style w:type="paragraph" w:customStyle="1" w:styleId="139">
    <w:name w:val="UserStyle_159"/>
    <w:basedOn w:val="1"/>
    <w:link w:val="138"/>
    <w:qFormat/>
    <w:uiPriority w:val="0"/>
    <w:pPr>
      <w:widowControl/>
      <w:textAlignment w:val="baseline"/>
    </w:pPr>
    <w:rPr>
      <w:rFonts w:ascii="仿宋_GB2312" w:eastAsia="仿宋_GB2312"/>
      <w:b/>
      <w:kern w:val="0"/>
      <w:sz w:val="32"/>
      <w:szCs w:val="32"/>
    </w:rPr>
  </w:style>
  <w:style w:type="character" w:customStyle="1" w:styleId="140">
    <w:name w:val="标题4 Char Char"/>
    <w:link w:val="141"/>
    <w:qFormat/>
    <w:uiPriority w:val="0"/>
    <w:rPr>
      <w:rFonts w:ascii="Arial" w:hAnsi="Arial"/>
      <w:b/>
      <w:bCs/>
      <w:sz w:val="24"/>
      <w:szCs w:val="32"/>
    </w:rPr>
  </w:style>
  <w:style w:type="paragraph" w:customStyle="1" w:styleId="141">
    <w:name w:val="标题4"/>
    <w:basedOn w:val="5"/>
    <w:next w:val="23"/>
    <w:link w:val="140"/>
    <w:qFormat/>
    <w:uiPriority w:val="0"/>
    <w:pPr>
      <w:spacing w:line="413" w:lineRule="auto"/>
    </w:pPr>
    <w:rPr>
      <w:kern w:val="0"/>
      <w:sz w:val="24"/>
    </w:rPr>
  </w:style>
  <w:style w:type="character" w:customStyle="1" w:styleId="142">
    <w:name w:val="页脚 Char1"/>
    <w:semiHidden/>
    <w:qFormat/>
    <w:uiPriority w:val="99"/>
    <w:rPr>
      <w:kern w:val="2"/>
      <w:sz w:val="18"/>
      <w:szCs w:val="18"/>
    </w:rPr>
  </w:style>
  <w:style w:type="character" w:customStyle="1" w:styleId="143">
    <w:name w:val="UserStyle_38"/>
    <w:link w:val="144"/>
    <w:qFormat/>
    <w:locked/>
    <w:uiPriority w:val="0"/>
    <w:rPr>
      <w:rFonts w:ascii="黑体" w:eastAsia="黑体"/>
      <w:b/>
      <w:kern w:val="2"/>
      <w:sz w:val="32"/>
    </w:rPr>
  </w:style>
  <w:style w:type="paragraph" w:customStyle="1" w:styleId="144">
    <w:name w:val="UserStyle_39"/>
    <w:basedOn w:val="1"/>
    <w:link w:val="143"/>
    <w:qFormat/>
    <w:uiPriority w:val="0"/>
    <w:pPr>
      <w:widowControl/>
      <w:jc w:val="center"/>
      <w:textAlignment w:val="baseline"/>
    </w:pPr>
    <w:rPr>
      <w:rFonts w:ascii="黑体" w:eastAsia="黑体"/>
      <w:b/>
      <w:sz w:val="32"/>
      <w:szCs w:val="20"/>
    </w:rPr>
  </w:style>
  <w:style w:type="character" w:customStyle="1" w:styleId="145">
    <w:name w:val="UserStyle_66"/>
    <w:qFormat/>
    <w:uiPriority w:val="0"/>
    <w:rPr>
      <w:rFonts w:ascii="宋体" w:hAnsi="Courier New" w:eastAsia="宋体"/>
      <w:kern w:val="2"/>
      <w:sz w:val="24"/>
      <w:lang w:val="en-US" w:eastAsia="zh-CN" w:bidi="ar-SA"/>
    </w:rPr>
  </w:style>
  <w:style w:type="character" w:customStyle="1" w:styleId="146">
    <w:name w:val="UserStyle_112"/>
    <w:qFormat/>
    <w:uiPriority w:val="0"/>
    <w:rPr>
      <w:rFonts w:ascii="Wingdings" w:hAnsi="Wingdings"/>
    </w:rPr>
  </w:style>
  <w:style w:type="character" w:customStyle="1" w:styleId="147">
    <w:name w:val="UserStyle_99"/>
    <w:semiHidden/>
    <w:qFormat/>
    <w:uiPriority w:val="0"/>
    <w:rPr>
      <w:rFonts w:ascii="Times New Roman" w:hAnsi="Times New Roman" w:eastAsia="宋体"/>
      <w:szCs w:val="20"/>
    </w:rPr>
  </w:style>
  <w:style w:type="character" w:customStyle="1" w:styleId="148">
    <w:name w:val="明显强调1"/>
    <w:qFormat/>
    <w:uiPriority w:val="0"/>
    <w:rPr>
      <w:b/>
      <w:bCs/>
      <w:i/>
      <w:iCs/>
      <w:color w:val="4F81BD"/>
    </w:rPr>
  </w:style>
  <w:style w:type="character" w:customStyle="1" w:styleId="149">
    <w:name w:val="UserStyle_90"/>
    <w:qFormat/>
    <w:uiPriority w:val="0"/>
    <w:rPr>
      <w:rFonts w:ascii="宋体" w:hAnsi="宋体" w:eastAsia="宋体" w:cs="Times New Roman"/>
      <w:b/>
      <w:bCs/>
      <w:color w:val="000000"/>
      <w:spacing w:val="-20"/>
      <w:sz w:val="36"/>
      <w:szCs w:val="36"/>
    </w:rPr>
  </w:style>
  <w:style w:type="character" w:customStyle="1" w:styleId="150">
    <w:name w:val="UserStyle_129"/>
    <w:qFormat/>
    <w:uiPriority w:val="0"/>
  </w:style>
  <w:style w:type="character" w:customStyle="1" w:styleId="151">
    <w:name w:val="UserStyle_139"/>
    <w:semiHidden/>
    <w:qFormat/>
    <w:uiPriority w:val="0"/>
  </w:style>
  <w:style w:type="character" w:customStyle="1" w:styleId="152">
    <w:name w:val="UserStyle_98"/>
    <w:semiHidden/>
    <w:qFormat/>
    <w:uiPriority w:val="0"/>
    <w:rPr>
      <w:kern w:val="2"/>
      <w:sz w:val="21"/>
    </w:rPr>
  </w:style>
  <w:style w:type="character" w:customStyle="1" w:styleId="153">
    <w:name w:val="UserStyle_82"/>
    <w:qFormat/>
    <w:uiPriority w:val="0"/>
    <w:rPr>
      <w:rFonts w:eastAsia="宋体" w:cs="Times New Roman"/>
      <w:b/>
      <w:bCs/>
      <w:kern w:val="2"/>
      <w:sz w:val="32"/>
      <w:szCs w:val="32"/>
      <w:lang w:val="en-US" w:eastAsia="zh-CN" w:bidi="ar-SA"/>
    </w:rPr>
  </w:style>
  <w:style w:type="character" w:customStyle="1" w:styleId="154">
    <w:name w:val="日期 Char2"/>
    <w:semiHidden/>
    <w:qFormat/>
    <w:uiPriority w:val="99"/>
    <w:rPr>
      <w:kern w:val="2"/>
      <w:sz w:val="21"/>
      <w:szCs w:val="22"/>
    </w:rPr>
  </w:style>
  <w:style w:type="character" w:customStyle="1" w:styleId="155">
    <w:name w:val="UserStyle_69"/>
    <w:link w:val="156"/>
    <w:qFormat/>
    <w:uiPriority w:val="0"/>
    <w:rPr>
      <w:rFonts w:ascii="Arial" w:hAnsi="Arial" w:eastAsia="黑体"/>
      <w:b/>
      <w:sz w:val="28"/>
    </w:rPr>
  </w:style>
  <w:style w:type="paragraph" w:customStyle="1" w:styleId="156">
    <w:name w:val="Heading4"/>
    <w:basedOn w:val="1"/>
    <w:next w:val="1"/>
    <w:link w:val="155"/>
    <w:qFormat/>
    <w:uiPriority w:val="0"/>
    <w:pPr>
      <w:keepNext/>
      <w:keepLines/>
      <w:widowControl/>
      <w:spacing w:before="280" w:after="290" w:line="376" w:lineRule="atLeast"/>
      <w:textAlignment w:val="baseline"/>
    </w:pPr>
    <w:rPr>
      <w:rFonts w:ascii="Arial" w:hAnsi="Arial" w:eastAsia="黑体"/>
      <w:b/>
      <w:kern w:val="0"/>
      <w:sz w:val="28"/>
      <w:szCs w:val="20"/>
    </w:rPr>
  </w:style>
  <w:style w:type="character" w:customStyle="1" w:styleId="157">
    <w:name w:val="font21"/>
    <w:qFormat/>
    <w:uiPriority w:val="0"/>
    <w:rPr>
      <w:rFonts w:hint="eastAsia" w:ascii="宋体" w:hAnsi="宋体" w:eastAsia="宋体"/>
      <w:b/>
      <w:bCs/>
      <w:color w:val="000000"/>
      <w:sz w:val="36"/>
      <w:szCs w:val="36"/>
      <w:u w:val="none"/>
    </w:rPr>
  </w:style>
  <w:style w:type="character" w:customStyle="1" w:styleId="158">
    <w:name w:val="列表段落 字符"/>
    <w:link w:val="159"/>
    <w:qFormat/>
    <w:locked/>
    <w:uiPriority w:val="99"/>
    <w:rPr>
      <w:rFonts w:ascii="Calibri" w:hAnsi="Calibri"/>
      <w:kern w:val="2"/>
      <w:sz w:val="21"/>
      <w:szCs w:val="22"/>
    </w:rPr>
  </w:style>
  <w:style w:type="paragraph" w:styleId="159">
    <w:name w:val="List Paragraph"/>
    <w:basedOn w:val="1"/>
    <w:link w:val="158"/>
    <w:qFormat/>
    <w:uiPriority w:val="99"/>
    <w:pPr>
      <w:ind w:firstLine="420" w:firstLineChars="200"/>
    </w:pPr>
    <w:rPr>
      <w:rFonts w:ascii="Calibri" w:hAnsi="Calibri"/>
      <w:szCs w:val="22"/>
    </w:rPr>
  </w:style>
  <w:style w:type="character" w:customStyle="1" w:styleId="160">
    <w:name w:val="标题5 Char Char"/>
    <w:link w:val="161"/>
    <w:qFormat/>
    <w:uiPriority w:val="0"/>
    <w:rPr>
      <w:rFonts w:ascii="Arial" w:hAnsi="Arial"/>
      <w:b/>
      <w:bCs/>
      <w:sz w:val="24"/>
      <w:szCs w:val="32"/>
    </w:rPr>
  </w:style>
  <w:style w:type="paragraph" w:customStyle="1" w:styleId="161">
    <w:name w:val="标题5"/>
    <w:basedOn w:val="6"/>
    <w:link w:val="160"/>
    <w:qFormat/>
    <w:uiPriority w:val="0"/>
    <w:pPr>
      <w:spacing w:line="413" w:lineRule="auto"/>
    </w:pPr>
    <w:rPr>
      <w:rFonts w:ascii="Arial" w:hAnsi="Arial"/>
      <w:kern w:val="0"/>
    </w:rPr>
  </w:style>
  <w:style w:type="character" w:customStyle="1" w:styleId="162">
    <w:name w:val="UserStyle_150"/>
    <w:semiHidden/>
    <w:qFormat/>
    <w:uiPriority w:val="0"/>
    <w:rPr>
      <w:rFonts w:ascii="Times New Roman" w:hAnsi="Times New Roman" w:eastAsia="宋体"/>
      <w:sz w:val="16"/>
      <w:szCs w:val="16"/>
    </w:rPr>
  </w:style>
  <w:style w:type="character" w:customStyle="1" w:styleId="163">
    <w:name w:val="UserStyle_48"/>
    <w:semiHidden/>
    <w:qFormat/>
    <w:uiPriority w:val="0"/>
    <w:rPr>
      <w:rFonts w:ascii="宋体"/>
      <w:kern w:val="2"/>
      <w:sz w:val="18"/>
      <w:szCs w:val="18"/>
    </w:rPr>
  </w:style>
  <w:style w:type="character" w:customStyle="1" w:styleId="164">
    <w:name w:val="标题 Char1"/>
    <w:qFormat/>
    <w:uiPriority w:val="10"/>
    <w:rPr>
      <w:rFonts w:ascii="Calibri Light" w:hAnsi="Calibri Light" w:cs="Times New Roman"/>
      <w:b/>
      <w:bCs/>
      <w:kern w:val="2"/>
      <w:sz w:val="32"/>
      <w:szCs w:val="32"/>
    </w:rPr>
  </w:style>
  <w:style w:type="character" w:customStyle="1" w:styleId="165">
    <w:name w:val="UserStyle_145"/>
    <w:link w:val="166"/>
    <w:qFormat/>
    <w:uiPriority w:val="0"/>
    <w:rPr>
      <w:kern w:val="2"/>
      <w:sz w:val="32"/>
    </w:rPr>
  </w:style>
  <w:style w:type="paragraph" w:customStyle="1" w:styleId="166">
    <w:name w:val="BodyTextIndent2"/>
    <w:basedOn w:val="1"/>
    <w:link w:val="165"/>
    <w:qFormat/>
    <w:uiPriority w:val="0"/>
    <w:pPr>
      <w:widowControl/>
      <w:ind w:left="105" w:firstLine="690"/>
      <w:textAlignment w:val="baseline"/>
    </w:pPr>
    <w:rPr>
      <w:sz w:val="32"/>
      <w:szCs w:val="20"/>
    </w:rPr>
  </w:style>
  <w:style w:type="character" w:customStyle="1" w:styleId="167">
    <w:name w:val="UserStyle_96"/>
    <w:qFormat/>
    <w:uiPriority w:val="0"/>
    <w:rPr>
      <w:rFonts w:ascii="宋体" w:hAnsi="宋体" w:eastAsia="宋体"/>
      <w:color w:val="000000"/>
      <w:sz w:val="24"/>
      <w:szCs w:val="24"/>
    </w:rPr>
  </w:style>
  <w:style w:type="character" w:customStyle="1" w:styleId="168">
    <w:name w:val="UserStyle_165"/>
    <w:qFormat/>
    <w:uiPriority w:val="0"/>
    <w:rPr>
      <w:rFonts w:ascii="Calibri" w:hAnsi="Calibri"/>
      <w:kern w:val="2"/>
      <w:sz w:val="21"/>
      <w:szCs w:val="22"/>
    </w:rPr>
  </w:style>
  <w:style w:type="character" w:customStyle="1" w:styleId="169">
    <w:name w:val="UserStyle_33"/>
    <w:qFormat/>
    <w:uiPriority w:val="0"/>
    <w:rPr>
      <w:rFonts w:ascii="Cambria" w:hAnsi="Cambria" w:cs="Times New Roman"/>
      <w:b/>
      <w:bCs/>
      <w:kern w:val="28"/>
      <w:sz w:val="32"/>
      <w:szCs w:val="32"/>
    </w:rPr>
  </w:style>
  <w:style w:type="character" w:customStyle="1" w:styleId="170">
    <w:name w:val="UserStyle_126"/>
    <w:qFormat/>
    <w:uiPriority w:val="0"/>
    <w:rPr>
      <w:sz w:val="18"/>
      <w:szCs w:val="18"/>
    </w:rPr>
  </w:style>
  <w:style w:type="character" w:customStyle="1" w:styleId="171">
    <w:name w:val="UserStyle_94"/>
    <w:qFormat/>
    <w:uiPriority w:val="0"/>
    <w:rPr>
      <w:kern w:val="2"/>
      <w:sz w:val="18"/>
      <w:szCs w:val="18"/>
    </w:rPr>
  </w:style>
  <w:style w:type="character" w:customStyle="1" w:styleId="172">
    <w:name w:val="UserStyle_121"/>
    <w:qFormat/>
    <w:uiPriority w:val="0"/>
    <w:rPr>
      <w:rFonts w:ascii="宋体" w:hAnsi="宋体" w:eastAsia="宋体"/>
      <w:sz w:val="21"/>
    </w:rPr>
  </w:style>
  <w:style w:type="character" w:customStyle="1" w:styleId="173">
    <w:name w:val="UserStyle_49"/>
    <w:qFormat/>
    <w:uiPriority w:val="0"/>
    <w:rPr>
      <w:rFonts w:ascii="Arial" w:hAnsi="Arial" w:eastAsia="黑体" w:cs="Times New Roman"/>
      <w:b/>
      <w:bCs/>
      <w:kern w:val="2"/>
      <w:sz w:val="32"/>
      <w:szCs w:val="32"/>
      <w:lang w:val="en-US" w:eastAsia="zh-CN" w:bidi="ar-SA"/>
    </w:rPr>
  </w:style>
  <w:style w:type="character" w:customStyle="1" w:styleId="174">
    <w:name w:val="UserStyle_132"/>
    <w:qFormat/>
    <w:uiPriority w:val="0"/>
    <w:rPr>
      <w:rFonts w:ascii="Arial" w:hAnsi="Arial"/>
      <w:color w:val="003399"/>
      <w:sz w:val="18"/>
      <w:szCs w:val="18"/>
    </w:rPr>
  </w:style>
  <w:style w:type="character" w:customStyle="1" w:styleId="175">
    <w:name w:val="UserStyle_120"/>
    <w:semiHidden/>
    <w:qFormat/>
    <w:uiPriority w:val="0"/>
    <w:rPr>
      <w:kern w:val="2"/>
      <w:sz w:val="16"/>
      <w:szCs w:val="16"/>
    </w:rPr>
  </w:style>
  <w:style w:type="character" w:customStyle="1" w:styleId="176">
    <w:name w:val="书籍标题1"/>
    <w:qFormat/>
    <w:uiPriority w:val="0"/>
    <w:rPr>
      <w:b/>
      <w:bCs/>
      <w:smallCaps/>
      <w:spacing w:val="5"/>
    </w:rPr>
  </w:style>
  <w:style w:type="character" w:customStyle="1" w:styleId="177">
    <w:name w:val="HtmlCite"/>
    <w:qFormat/>
    <w:uiPriority w:val="0"/>
  </w:style>
  <w:style w:type="character" w:customStyle="1" w:styleId="178">
    <w:name w:val="日期 Char1"/>
    <w:qFormat/>
    <w:uiPriority w:val="0"/>
    <w:rPr>
      <w:kern w:val="2"/>
      <w:sz w:val="21"/>
      <w:szCs w:val="22"/>
    </w:rPr>
  </w:style>
  <w:style w:type="character" w:customStyle="1" w:styleId="179">
    <w:name w:val="UserStyle_60"/>
    <w:qFormat/>
    <w:uiPriority w:val="0"/>
  </w:style>
  <w:style w:type="character" w:customStyle="1" w:styleId="180">
    <w:name w:val="UserStyle_163"/>
    <w:qFormat/>
    <w:uiPriority w:val="0"/>
  </w:style>
  <w:style w:type="character" w:customStyle="1" w:styleId="181">
    <w:name w:val="UserStyle_78"/>
    <w:semiHidden/>
    <w:qFormat/>
    <w:uiPriority w:val="0"/>
    <w:rPr>
      <w:rFonts w:ascii="宋体" w:cs="Times New Roman"/>
      <w:b/>
      <w:bCs/>
      <w:sz w:val="34"/>
    </w:rPr>
  </w:style>
  <w:style w:type="character" w:customStyle="1" w:styleId="182">
    <w:name w:val="UserStyle_164"/>
    <w:qFormat/>
    <w:uiPriority w:val="0"/>
    <w:rPr>
      <w:rFonts w:ascii="Cambria" w:hAnsi="Cambria" w:cs="Times New Roman"/>
      <w:b/>
      <w:bCs/>
      <w:kern w:val="2"/>
      <w:sz w:val="32"/>
      <w:szCs w:val="32"/>
    </w:rPr>
  </w:style>
  <w:style w:type="character" w:customStyle="1" w:styleId="183">
    <w:name w:val="textcontents"/>
    <w:qFormat/>
    <w:uiPriority w:val="0"/>
    <w:rPr>
      <w:rFonts w:cs="Times New Roman"/>
    </w:rPr>
  </w:style>
  <w:style w:type="character" w:customStyle="1" w:styleId="184">
    <w:name w:val="引用 Char1"/>
    <w:qFormat/>
    <w:uiPriority w:val="29"/>
    <w:rPr>
      <w:i/>
      <w:iCs/>
      <w:color w:val="404040"/>
      <w:kern w:val="2"/>
      <w:sz w:val="21"/>
      <w:szCs w:val="24"/>
    </w:rPr>
  </w:style>
  <w:style w:type="character" w:customStyle="1" w:styleId="185">
    <w:name w:val="UserStyle_16"/>
    <w:qFormat/>
    <w:uiPriority w:val="0"/>
    <w:rPr>
      <w:rFonts w:eastAsia="仿宋_GB2312"/>
      <w:kern w:val="2"/>
      <w:sz w:val="18"/>
      <w:szCs w:val="18"/>
      <w:lang w:val="en-US" w:eastAsia="zh-CN" w:bidi="ar-SA"/>
    </w:rPr>
  </w:style>
  <w:style w:type="character" w:customStyle="1" w:styleId="186">
    <w:name w:val="UserStyle_88"/>
    <w:link w:val="187"/>
    <w:qFormat/>
    <w:uiPriority w:val="0"/>
    <w:rPr>
      <w:rFonts w:ascii="宋体" w:hAnsi="宋体"/>
      <w:b/>
      <w:kern w:val="10"/>
      <w:sz w:val="21"/>
    </w:rPr>
  </w:style>
  <w:style w:type="paragraph" w:customStyle="1" w:styleId="187">
    <w:name w:val="UserStyle_89"/>
    <w:basedOn w:val="1"/>
    <w:link w:val="186"/>
    <w:qFormat/>
    <w:uiPriority w:val="0"/>
    <w:pPr>
      <w:widowControl/>
      <w:spacing w:line="360" w:lineRule="auto"/>
      <w:ind w:firstLine="560" w:firstLineChars="200"/>
      <w:textAlignment w:val="baseline"/>
    </w:pPr>
    <w:rPr>
      <w:rFonts w:ascii="宋体" w:hAnsi="宋体"/>
      <w:b/>
      <w:kern w:val="10"/>
      <w:szCs w:val="20"/>
    </w:rPr>
  </w:style>
  <w:style w:type="character" w:customStyle="1" w:styleId="188">
    <w:name w:val="UserStyle_108"/>
    <w:qFormat/>
    <w:uiPriority w:val="0"/>
    <w:rPr>
      <w:rFonts w:ascii="Cambria" w:hAnsi="Cambria" w:cs="Times New Roman"/>
      <w:b/>
      <w:bCs/>
      <w:kern w:val="2"/>
      <w:sz w:val="32"/>
      <w:szCs w:val="32"/>
    </w:rPr>
  </w:style>
  <w:style w:type="character" w:customStyle="1" w:styleId="189">
    <w:name w:val="（符号）邀请函中一、"/>
    <w:qFormat/>
    <w:uiPriority w:val="0"/>
    <w:rPr>
      <w:rFonts w:ascii="黑体" w:eastAsia="黑体"/>
      <w:b/>
      <w:bCs/>
      <w:sz w:val="24"/>
    </w:rPr>
  </w:style>
  <w:style w:type="character" w:customStyle="1" w:styleId="190">
    <w:name w:val="UserStyle_11"/>
    <w:qFormat/>
    <w:locked/>
    <w:uiPriority w:val="0"/>
    <w:rPr>
      <w:rFonts w:ascii="宋体" w:hAnsi="宋体" w:eastAsia="宋体"/>
      <w:kern w:val="2"/>
      <w:sz w:val="21"/>
      <w:lang w:val="en-US" w:eastAsia="zh-CN" w:bidi="ar-SA"/>
    </w:rPr>
  </w:style>
  <w:style w:type="character" w:customStyle="1" w:styleId="191">
    <w:name w:val="批注文字 Char"/>
    <w:qFormat/>
    <w:uiPriority w:val="0"/>
    <w:rPr>
      <w:kern w:val="2"/>
      <w:sz w:val="21"/>
      <w:szCs w:val="24"/>
    </w:rPr>
  </w:style>
  <w:style w:type="character" w:customStyle="1" w:styleId="192">
    <w:name w:val="UserStyle_47"/>
    <w:qFormat/>
    <w:uiPriority w:val="0"/>
    <w:rPr>
      <w:rFonts w:ascii="Arial" w:hAnsi="Arial" w:eastAsia="黑体" w:cs="Times New Roman"/>
      <w:b/>
      <w:bCs/>
      <w:sz w:val="32"/>
      <w:szCs w:val="32"/>
      <w:lang w:val="en-US" w:eastAsia="zh-CN" w:bidi="ar-SA"/>
    </w:rPr>
  </w:style>
  <w:style w:type="character" w:customStyle="1" w:styleId="193">
    <w:name w:val="UserStyle_59"/>
    <w:link w:val="194"/>
    <w:qFormat/>
    <w:uiPriority w:val="0"/>
    <w:rPr>
      <w:color w:val="FF0000"/>
      <w:kern w:val="2"/>
      <w:sz w:val="21"/>
    </w:rPr>
  </w:style>
  <w:style w:type="paragraph" w:customStyle="1" w:styleId="194">
    <w:name w:val="BodyText"/>
    <w:basedOn w:val="1"/>
    <w:next w:val="1"/>
    <w:link w:val="193"/>
    <w:qFormat/>
    <w:uiPriority w:val="0"/>
    <w:pPr>
      <w:widowControl/>
      <w:spacing w:line="360" w:lineRule="auto"/>
      <w:textAlignment w:val="baseline"/>
    </w:pPr>
    <w:rPr>
      <w:color w:val="FF0000"/>
      <w:szCs w:val="20"/>
    </w:rPr>
  </w:style>
  <w:style w:type="character" w:customStyle="1" w:styleId="195">
    <w:name w:val="UserStyle_56"/>
    <w:link w:val="196"/>
    <w:qFormat/>
    <w:uiPriority w:val="0"/>
    <w:rPr>
      <w:rFonts w:eastAsia="Times New Roman"/>
      <w:sz w:val="22"/>
      <w:szCs w:val="22"/>
      <w:lang w:val="en-US" w:eastAsia="zh-CN" w:bidi="ar-SA"/>
    </w:rPr>
  </w:style>
  <w:style w:type="paragraph" w:customStyle="1" w:styleId="196">
    <w:name w:val="Null"/>
    <w:link w:val="195"/>
    <w:qFormat/>
    <w:uiPriority w:val="0"/>
    <w:pPr>
      <w:textAlignment w:val="baseline"/>
    </w:pPr>
    <w:rPr>
      <w:rFonts w:ascii="Times New Roman" w:hAnsi="Times New Roman" w:eastAsia="Times New Roman" w:cs="Times New Roman"/>
      <w:sz w:val="22"/>
      <w:szCs w:val="22"/>
      <w:lang w:val="en-US" w:eastAsia="zh-CN" w:bidi="ar-SA"/>
    </w:rPr>
  </w:style>
  <w:style w:type="character" w:customStyle="1" w:styleId="197">
    <w:name w:val="UserStyle_8"/>
    <w:qFormat/>
    <w:uiPriority w:val="0"/>
    <w:rPr>
      <w:rFonts w:ascii="宋体" w:hAnsi="Courier New" w:eastAsia="宋体"/>
      <w:kern w:val="2"/>
      <w:sz w:val="24"/>
      <w:lang w:val="en-US" w:eastAsia="zh-CN" w:bidi="ar-SA"/>
    </w:rPr>
  </w:style>
  <w:style w:type="character" w:customStyle="1" w:styleId="198">
    <w:name w:val="UserStyle_133"/>
    <w:semiHidden/>
    <w:qFormat/>
    <w:uiPriority w:val="0"/>
    <w:rPr>
      <w:rFonts w:ascii="Microsoft YaHei UI" w:hAnsi="Times New Roman" w:eastAsia="Microsoft YaHei UI"/>
      <w:sz w:val="18"/>
      <w:szCs w:val="18"/>
    </w:rPr>
  </w:style>
  <w:style w:type="character" w:customStyle="1" w:styleId="199">
    <w:name w:val="UserStyle_72"/>
    <w:qFormat/>
    <w:uiPriority w:val="0"/>
    <w:rPr>
      <w:rFonts w:eastAsia="宋体"/>
      <w:b/>
      <w:kern w:val="2"/>
      <w:sz w:val="32"/>
      <w:lang w:val="en-US" w:eastAsia="zh-CN" w:bidi="ar-SA"/>
    </w:rPr>
  </w:style>
  <w:style w:type="character" w:customStyle="1" w:styleId="200">
    <w:name w:val="UserStyle_80"/>
    <w:qFormat/>
    <w:uiPriority w:val="0"/>
    <w:rPr>
      <w:kern w:val="2"/>
      <w:sz w:val="18"/>
      <w:szCs w:val="18"/>
    </w:rPr>
  </w:style>
  <w:style w:type="character" w:customStyle="1" w:styleId="201">
    <w:name w:val="UserStyle_117"/>
    <w:semiHidden/>
    <w:qFormat/>
    <w:uiPriority w:val="0"/>
    <w:rPr>
      <w:kern w:val="2"/>
      <w:sz w:val="21"/>
    </w:rPr>
  </w:style>
  <w:style w:type="character" w:customStyle="1" w:styleId="202">
    <w:name w:val="UserStyle_29"/>
    <w:qFormat/>
    <w:uiPriority w:val="0"/>
    <w:rPr>
      <w:rFonts w:ascii="宋体" w:eastAsia="宋体"/>
      <w:b/>
      <w:sz w:val="32"/>
      <w:lang w:bidi="ar-SA"/>
    </w:rPr>
  </w:style>
  <w:style w:type="character" w:customStyle="1" w:styleId="203">
    <w:name w:val="HtmlCode"/>
    <w:qFormat/>
    <w:uiPriority w:val="0"/>
    <w:rPr>
      <w:rFonts w:ascii="Courier New" w:hAnsi="Courier New"/>
      <w:sz w:val="20"/>
    </w:rPr>
  </w:style>
  <w:style w:type="character" w:customStyle="1" w:styleId="204">
    <w:name w:val="UserStyle_79"/>
    <w:semiHidden/>
    <w:qFormat/>
    <w:uiPriority w:val="0"/>
    <w:rPr>
      <w:rFonts w:ascii="宋体" w:hAnsi="宋体" w:eastAsia="宋体"/>
      <w:sz w:val="18"/>
      <w:szCs w:val="18"/>
    </w:rPr>
  </w:style>
  <w:style w:type="character" w:customStyle="1" w:styleId="205">
    <w:name w:val="UserStyle_24"/>
    <w:qFormat/>
    <w:locked/>
    <w:uiPriority w:val="0"/>
    <w:rPr>
      <w:kern w:val="2"/>
      <w:sz w:val="18"/>
      <w:szCs w:val="18"/>
    </w:rPr>
  </w:style>
  <w:style w:type="character" w:customStyle="1" w:styleId="206">
    <w:name w:val="普通文字 Char"/>
    <w:qFormat/>
    <w:uiPriority w:val="0"/>
    <w:rPr>
      <w:rFonts w:ascii="宋体" w:hAnsi="Courier New" w:eastAsia="宋体"/>
      <w:kern w:val="2"/>
      <w:sz w:val="21"/>
      <w:lang w:val="en-US" w:eastAsia="zh-CN" w:bidi="ar-SA"/>
    </w:rPr>
  </w:style>
  <w:style w:type="character" w:customStyle="1" w:styleId="207">
    <w:name w:val="UserStyle_17"/>
    <w:qFormat/>
    <w:uiPriority w:val="0"/>
    <w:rPr>
      <w:rFonts w:ascii="宋体" w:hAnsi="宋体"/>
      <w:kern w:val="2"/>
      <w:sz w:val="24"/>
      <w:szCs w:val="24"/>
    </w:rPr>
  </w:style>
  <w:style w:type="character" w:customStyle="1" w:styleId="208">
    <w:name w:val="UserStyle_113"/>
    <w:qFormat/>
    <w:uiPriority w:val="0"/>
    <w:rPr>
      <w:rFonts w:ascii="Arial" w:hAnsi="Arial" w:eastAsia="黑体" w:cs="Arial"/>
      <w:b/>
      <w:bCs/>
      <w:kern w:val="2"/>
      <w:sz w:val="32"/>
      <w:szCs w:val="32"/>
      <w:lang w:val="en-US" w:eastAsia="zh-CN" w:bidi="ar-SA"/>
    </w:rPr>
  </w:style>
  <w:style w:type="character" w:customStyle="1" w:styleId="209">
    <w:name w:val="UserStyle_58"/>
    <w:link w:val="210"/>
    <w:qFormat/>
    <w:uiPriority w:val="0"/>
  </w:style>
  <w:style w:type="paragraph" w:customStyle="1" w:styleId="210">
    <w:name w:val="BodyText1I"/>
    <w:basedOn w:val="194"/>
    <w:link w:val="209"/>
    <w:qFormat/>
    <w:uiPriority w:val="0"/>
    <w:pPr>
      <w:spacing w:after="120" w:line="240" w:lineRule="auto"/>
      <w:ind w:firstLine="420" w:firstLineChars="100"/>
    </w:pPr>
  </w:style>
  <w:style w:type="character" w:customStyle="1" w:styleId="211">
    <w:name w:val="UserStyle_45"/>
    <w:qFormat/>
    <w:uiPriority w:val="0"/>
    <w:rPr>
      <w:rFonts w:ascii="宋体" w:hAnsi="Courier New"/>
      <w:kern w:val="2"/>
      <w:sz w:val="21"/>
    </w:rPr>
  </w:style>
  <w:style w:type="character" w:customStyle="1" w:styleId="212">
    <w:name w:val="UserStyle_36"/>
    <w:qFormat/>
    <w:uiPriority w:val="0"/>
    <w:rPr>
      <w:rFonts w:ascii="Arial" w:hAnsi="Arial" w:eastAsia="黑体" w:cs="Times New Roman"/>
      <w:b/>
      <w:bCs/>
      <w:sz w:val="28"/>
      <w:szCs w:val="28"/>
      <w:lang w:bidi="ar-SA"/>
    </w:rPr>
  </w:style>
  <w:style w:type="character" w:customStyle="1" w:styleId="213">
    <w:name w:val="UserStyle_118"/>
    <w:link w:val="214"/>
    <w:qFormat/>
    <w:uiPriority w:val="0"/>
    <w:rPr>
      <w:b/>
      <w:sz w:val="24"/>
    </w:rPr>
  </w:style>
  <w:style w:type="paragraph" w:customStyle="1" w:styleId="214">
    <w:name w:val="Heading7"/>
    <w:basedOn w:val="1"/>
    <w:next w:val="1"/>
    <w:link w:val="213"/>
    <w:qFormat/>
    <w:uiPriority w:val="0"/>
    <w:pPr>
      <w:keepNext/>
      <w:keepLines/>
      <w:widowControl/>
      <w:spacing w:before="240" w:after="64" w:line="320" w:lineRule="atLeast"/>
      <w:textAlignment w:val="baseline"/>
    </w:pPr>
    <w:rPr>
      <w:b/>
      <w:kern w:val="0"/>
      <w:sz w:val="24"/>
      <w:szCs w:val="20"/>
    </w:rPr>
  </w:style>
  <w:style w:type="character" w:customStyle="1" w:styleId="215">
    <w:name w:val="UserStyle_104"/>
    <w:link w:val="216"/>
    <w:qFormat/>
    <w:uiPriority w:val="0"/>
    <w:rPr>
      <w:rFonts w:ascii="宋体" w:hAnsi="宋体"/>
      <w:kern w:val="2"/>
      <w:sz w:val="24"/>
    </w:rPr>
  </w:style>
  <w:style w:type="paragraph" w:customStyle="1" w:styleId="216">
    <w:name w:val="UserStyle_105"/>
    <w:basedOn w:val="1"/>
    <w:link w:val="215"/>
    <w:qFormat/>
    <w:uiPriority w:val="0"/>
    <w:pPr>
      <w:widowControl/>
      <w:numPr>
        <w:ilvl w:val="1"/>
        <w:numId w:val="2"/>
      </w:numPr>
      <w:tabs>
        <w:tab w:val="left" w:pos="700"/>
      </w:tabs>
      <w:spacing w:line="500" w:lineRule="exact"/>
    </w:pPr>
    <w:rPr>
      <w:rFonts w:ascii="宋体" w:hAnsi="宋体"/>
      <w:sz w:val="24"/>
      <w:szCs w:val="20"/>
    </w:rPr>
  </w:style>
  <w:style w:type="character" w:customStyle="1" w:styleId="217">
    <w:name w:val="UserStyle_138"/>
    <w:semiHidden/>
    <w:qFormat/>
    <w:uiPriority w:val="0"/>
    <w:rPr>
      <w:rFonts w:ascii="宋体" w:hAnsi="宋体" w:eastAsia="宋体"/>
      <w:sz w:val="18"/>
      <w:szCs w:val="18"/>
    </w:rPr>
  </w:style>
  <w:style w:type="character" w:customStyle="1" w:styleId="218">
    <w:name w:val="不明显参考1"/>
    <w:qFormat/>
    <w:uiPriority w:val="0"/>
    <w:rPr>
      <w:smallCaps/>
      <w:color w:val="C0504D"/>
      <w:u w:val="single"/>
    </w:rPr>
  </w:style>
  <w:style w:type="character" w:customStyle="1" w:styleId="219">
    <w:name w:val="UserStyle_44"/>
    <w:semiHidden/>
    <w:qFormat/>
    <w:uiPriority w:val="0"/>
    <w:rPr>
      <w:kern w:val="2"/>
      <w:sz w:val="21"/>
    </w:rPr>
  </w:style>
  <w:style w:type="character" w:customStyle="1" w:styleId="220">
    <w:name w:val="UserStyle_65"/>
    <w:link w:val="221"/>
    <w:qFormat/>
    <w:uiPriority w:val="0"/>
    <w:rPr>
      <w:rFonts w:ascii="Arial" w:hAnsi="Arial" w:eastAsia="黑体"/>
      <w:sz w:val="21"/>
    </w:rPr>
  </w:style>
  <w:style w:type="paragraph" w:customStyle="1" w:styleId="221">
    <w:name w:val="Heading9"/>
    <w:basedOn w:val="1"/>
    <w:next w:val="1"/>
    <w:link w:val="220"/>
    <w:qFormat/>
    <w:uiPriority w:val="0"/>
    <w:pPr>
      <w:keepNext/>
      <w:keepLines/>
      <w:widowControl/>
      <w:spacing w:before="240" w:after="64" w:line="320" w:lineRule="atLeast"/>
      <w:textAlignment w:val="baseline"/>
    </w:pPr>
    <w:rPr>
      <w:rFonts w:ascii="Arial" w:hAnsi="Arial" w:eastAsia="黑体"/>
      <w:kern w:val="0"/>
      <w:szCs w:val="20"/>
    </w:rPr>
  </w:style>
  <w:style w:type="character" w:customStyle="1" w:styleId="222">
    <w:name w:val="副标题 Char1"/>
    <w:qFormat/>
    <w:uiPriority w:val="11"/>
    <w:rPr>
      <w:rFonts w:ascii="Calibri Light" w:hAnsi="Calibri Light" w:cs="Times New Roman"/>
      <w:b/>
      <w:bCs/>
      <w:kern w:val="28"/>
      <w:sz w:val="32"/>
      <w:szCs w:val="32"/>
    </w:rPr>
  </w:style>
  <w:style w:type="character" w:customStyle="1" w:styleId="223">
    <w:name w:val="UserStyle_76"/>
    <w:qFormat/>
    <w:uiPriority w:val="0"/>
  </w:style>
  <w:style w:type="character" w:customStyle="1" w:styleId="224">
    <w:name w:val="UserStyle_34"/>
    <w:qFormat/>
    <w:uiPriority w:val="0"/>
    <w:rPr>
      <w:kern w:val="2"/>
      <w:sz w:val="21"/>
    </w:rPr>
  </w:style>
  <w:style w:type="character" w:customStyle="1" w:styleId="225">
    <w:name w:val="UserStyle_46"/>
    <w:qFormat/>
    <w:uiPriority w:val="0"/>
    <w:rPr>
      <w:rFonts w:ascii="宋体" w:hAnsi="宋体" w:eastAsia="宋体"/>
      <w:kern w:val="2"/>
      <w:sz w:val="32"/>
      <w:lang w:val="en-US" w:eastAsia="zh-CN" w:bidi="ar-SA"/>
    </w:rPr>
  </w:style>
  <w:style w:type="character" w:customStyle="1" w:styleId="226">
    <w:name w:val="UserStyle_111"/>
    <w:qFormat/>
    <w:uiPriority w:val="0"/>
  </w:style>
  <w:style w:type="character" w:customStyle="1" w:styleId="227">
    <w:name w:val="UserStyle_151"/>
    <w:semiHidden/>
    <w:qFormat/>
    <w:uiPriority w:val="0"/>
    <w:rPr>
      <w:rFonts w:ascii="Times New Roman" w:hAnsi="Times New Roman" w:eastAsia="宋体"/>
      <w:szCs w:val="20"/>
    </w:rPr>
  </w:style>
  <w:style w:type="character" w:customStyle="1" w:styleId="228">
    <w:name w:val="UserStyle_25"/>
    <w:qFormat/>
    <w:uiPriority w:val="0"/>
    <w:rPr>
      <w:kern w:val="2"/>
      <w:sz w:val="21"/>
    </w:rPr>
  </w:style>
  <w:style w:type="character" w:customStyle="1" w:styleId="229">
    <w:name w:val="UserStyle_122"/>
    <w:qFormat/>
    <w:uiPriority w:val="0"/>
    <w:rPr>
      <w:rFonts w:eastAsia="宋体"/>
      <w:kern w:val="2"/>
      <w:sz w:val="18"/>
      <w:lang w:val="en-US" w:eastAsia="zh-CN" w:bidi="ar-SA"/>
    </w:rPr>
  </w:style>
  <w:style w:type="character" w:customStyle="1" w:styleId="230">
    <w:name w:val="UserStyle_106"/>
    <w:qFormat/>
    <w:uiPriority w:val="0"/>
    <w:rPr>
      <w:kern w:val="2"/>
      <w:sz w:val="18"/>
      <w:szCs w:val="18"/>
    </w:rPr>
  </w:style>
  <w:style w:type="character" w:customStyle="1" w:styleId="231">
    <w:name w:val="UserStyle_20"/>
    <w:link w:val="232"/>
    <w:qFormat/>
    <w:uiPriority w:val="0"/>
    <w:rPr>
      <w:rFonts w:ascii="宋体"/>
      <w:sz w:val="24"/>
      <w:szCs w:val="24"/>
    </w:rPr>
  </w:style>
  <w:style w:type="paragraph" w:customStyle="1" w:styleId="232">
    <w:name w:val="UserStyle_21"/>
    <w:basedOn w:val="1"/>
    <w:link w:val="231"/>
    <w:qFormat/>
    <w:uiPriority w:val="0"/>
    <w:pPr>
      <w:widowControl/>
      <w:spacing w:line="400" w:lineRule="exact"/>
      <w:textAlignment w:val="baseline"/>
    </w:pPr>
    <w:rPr>
      <w:rFonts w:ascii="宋体"/>
      <w:kern w:val="0"/>
      <w:sz w:val="24"/>
    </w:rPr>
  </w:style>
  <w:style w:type="character" w:customStyle="1" w:styleId="233">
    <w:name w:val="UserStyle_119"/>
    <w:qFormat/>
    <w:uiPriority w:val="0"/>
  </w:style>
  <w:style w:type="character" w:customStyle="1" w:styleId="234">
    <w:name w:val="UserStyle_27"/>
    <w:qFormat/>
    <w:uiPriority w:val="0"/>
    <w:rPr>
      <w:rFonts w:ascii="宋体"/>
      <w:kern w:val="2"/>
      <w:sz w:val="18"/>
      <w:szCs w:val="18"/>
    </w:rPr>
  </w:style>
  <w:style w:type="character" w:customStyle="1" w:styleId="235">
    <w:name w:val="UserStyle_53"/>
    <w:qFormat/>
    <w:uiPriority w:val="0"/>
    <w:rPr>
      <w:rFonts w:ascii="Arial" w:hAnsi="Arial"/>
      <w:color w:val="21254A"/>
      <w:sz w:val="22"/>
      <w:szCs w:val="22"/>
    </w:rPr>
  </w:style>
  <w:style w:type="character" w:customStyle="1" w:styleId="236">
    <w:name w:val="UserStyle_7"/>
    <w:semiHidden/>
    <w:qFormat/>
    <w:uiPriority w:val="0"/>
    <w:rPr>
      <w:rFonts w:ascii="Times New Roman" w:hAnsi="Times New Roman" w:eastAsia="宋体" w:cs="Times New Roman"/>
      <w:b/>
      <w:bCs/>
      <w:szCs w:val="20"/>
    </w:rPr>
  </w:style>
  <w:style w:type="character" w:customStyle="1" w:styleId="237">
    <w:name w:val="UserStyle_68"/>
    <w:semiHidden/>
    <w:qFormat/>
    <w:uiPriority w:val="0"/>
    <w:rPr>
      <w:rFonts w:ascii="Arial" w:hAnsi="Arial"/>
      <w:vanish/>
      <w:kern w:val="2"/>
      <w:sz w:val="16"/>
      <w:szCs w:val="16"/>
    </w:rPr>
  </w:style>
  <w:style w:type="character" w:customStyle="1" w:styleId="238">
    <w:name w:val="UserStyle_0"/>
    <w:qFormat/>
    <w:uiPriority w:val="0"/>
    <w:rPr>
      <w:rFonts w:ascii="Cambria" w:hAnsi="Cambria" w:cs="Times New Roman"/>
      <w:b/>
      <w:bCs/>
      <w:kern w:val="28"/>
      <w:sz w:val="32"/>
      <w:szCs w:val="32"/>
    </w:rPr>
  </w:style>
  <w:style w:type="character" w:customStyle="1" w:styleId="239">
    <w:name w:val="UserStyle_156"/>
    <w:semiHidden/>
    <w:qFormat/>
    <w:uiPriority w:val="0"/>
    <w:rPr>
      <w:kern w:val="2"/>
      <w:sz w:val="16"/>
      <w:szCs w:val="16"/>
    </w:rPr>
  </w:style>
  <w:style w:type="character" w:customStyle="1" w:styleId="240">
    <w:name w:val="UserStyle_61"/>
    <w:qFormat/>
    <w:uiPriority w:val="0"/>
    <w:rPr>
      <w:rFonts w:eastAsia="宋体"/>
      <w:sz w:val="24"/>
    </w:rPr>
  </w:style>
  <w:style w:type="character" w:customStyle="1" w:styleId="241">
    <w:name w:val="批注框文本 Char1"/>
    <w:qFormat/>
    <w:uiPriority w:val="0"/>
    <w:rPr>
      <w:kern w:val="2"/>
      <w:sz w:val="18"/>
      <w:szCs w:val="18"/>
    </w:rPr>
  </w:style>
  <w:style w:type="character" w:customStyle="1" w:styleId="242">
    <w:name w:val="批注文字 Char1"/>
    <w:semiHidden/>
    <w:qFormat/>
    <w:uiPriority w:val="99"/>
    <w:rPr>
      <w:kern w:val="2"/>
      <w:sz w:val="21"/>
      <w:szCs w:val="22"/>
    </w:rPr>
  </w:style>
  <w:style w:type="character" w:customStyle="1" w:styleId="243">
    <w:name w:val="UserStyle_70"/>
    <w:semiHidden/>
    <w:qFormat/>
    <w:uiPriority w:val="0"/>
    <w:rPr>
      <w:rFonts w:ascii="Arial" w:hAnsi="Arial"/>
      <w:vanish/>
      <w:kern w:val="2"/>
      <w:sz w:val="16"/>
      <w:szCs w:val="16"/>
    </w:rPr>
  </w:style>
  <w:style w:type="character" w:customStyle="1" w:styleId="244">
    <w:name w:val="UserStyle_54"/>
    <w:qFormat/>
    <w:uiPriority w:val="0"/>
  </w:style>
  <w:style w:type="character" w:customStyle="1" w:styleId="245">
    <w:name w:val="UserStyle_107"/>
    <w:qFormat/>
    <w:uiPriority w:val="0"/>
    <w:rPr>
      <w:rFonts w:ascii="宋体" w:hAnsi="宋体" w:eastAsia="宋体"/>
      <w:sz w:val="24"/>
      <w:szCs w:val="24"/>
      <w:lang w:val="en-US" w:eastAsia="zh-CN" w:bidi="ar-SA"/>
    </w:rPr>
  </w:style>
  <w:style w:type="character" w:customStyle="1" w:styleId="246">
    <w:name w:val="UserStyle_9"/>
    <w:qFormat/>
    <w:uiPriority w:val="0"/>
  </w:style>
  <w:style w:type="character" w:customStyle="1" w:styleId="247">
    <w:name w:val="UserStyle_131"/>
    <w:qFormat/>
    <w:uiPriority w:val="0"/>
  </w:style>
  <w:style w:type="character" w:customStyle="1" w:styleId="248">
    <w:name w:val="UserStyle_142"/>
    <w:semiHidden/>
    <w:qFormat/>
    <w:uiPriority w:val="0"/>
    <w:rPr>
      <w:rFonts w:ascii="等线" w:hAnsi="Courier New"/>
      <w:szCs w:val="20"/>
    </w:rPr>
  </w:style>
  <w:style w:type="character" w:customStyle="1" w:styleId="249">
    <w:name w:val="UserStyle_140"/>
    <w:qFormat/>
    <w:uiPriority w:val="0"/>
    <w:rPr>
      <w:color w:val="555555"/>
    </w:rPr>
  </w:style>
  <w:style w:type="character" w:customStyle="1" w:styleId="250">
    <w:name w:val="UserStyle_43"/>
    <w:qFormat/>
    <w:uiPriority w:val="0"/>
    <w:rPr>
      <w:rFonts w:ascii="ˎ̥" w:hAnsi="ˎ̥"/>
      <w:color w:val="000000"/>
      <w:sz w:val="20"/>
    </w:rPr>
  </w:style>
  <w:style w:type="character" w:customStyle="1" w:styleId="251">
    <w:name w:val="UserStyle_103"/>
    <w:qFormat/>
    <w:uiPriority w:val="0"/>
    <w:rPr>
      <w:rFonts w:ascii="宋体" w:hAnsi="Courier New"/>
      <w:kern w:val="2"/>
      <w:sz w:val="21"/>
      <w:szCs w:val="21"/>
    </w:rPr>
  </w:style>
  <w:style w:type="character" w:customStyle="1" w:styleId="252">
    <w:name w:val="UserStyle_23"/>
    <w:qFormat/>
    <w:uiPriority w:val="0"/>
  </w:style>
  <w:style w:type="character" w:customStyle="1" w:styleId="253">
    <w:name w:val="UserStyle_143"/>
    <w:link w:val="254"/>
    <w:qFormat/>
    <w:uiPriority w:val="0"/>
    <w:rPr>
      <w:kern w:val="2"/>
      <w:sz w:val="30"/>
      <w:szCs w:val="28"/>
    </w:rPr>
  </w:style>
  <w:style w:type="paragraph" w:customStyle="1" w:styleId="254">
    <w:name w:val="UserStyle_144"/>
    <w:basedOn w:val="1"/>
    <w:link w:val="253"/>
    <w:qFormat/>
    <w:uiPriority w:val="0"/>
    <w:pPr>
      <w:widowControl/>
      <w:spacing w:line="360" w:lineRule="auto"/>
      <w:ind w:firstLine="493"/>
      <w:textAlignment w:val="baseline"/>
    </w:pPr>
    <w:rPr>
      <w:sz w:val="30"/>
      <w:szCs w:val="28"/>
    </w:rPr>
  </w:style>
  <w:style w:type="character" w:customStyle="1" w:styleId="255">
    <w:name w:val="ariticlecontent"/>
    <w:qFormat/>
    <w:uiPriority w:val="0"/>
    <w:rPr>
      <w:rFonts w:hint="default" w:ascii="Times New Roman" w:hAnsi="Times New Roman" w:cs="Times New Roman"/>
    </w:rPr>
  </w:style>
  <w:style w:type="character" w:customStyle="1" w:styleId="256">
    <w:name w:val="UserStyle_31"/>
    <w:link w:val="257"/>
    <w:qFormat/>
    <w:locked/>
    <w:uiPriority w:val="0"/>
    <w:rPr>
      <w:rFonts w:ascii="宋体" w:hAnsi="宋体"/>
      <w:color w:val="000000"/>
      <w:kern w:val="2"/>
      <w:sz w:val="24"/>
    </w:rPr>
  </w:style>
  <w:style w:type="paragraph" w:customStyle="1" w:styleId="257">
    <w:name w:val="UserStyle_32"/>
    <w:basedOn w:val="1"/>
    <w:link w:val="256"/>
    <w:qFormat/>
    <w:uiPriority w:val="0"/>
    <w:pPr>
      <w:widowControl/>
      <w:tabs>
        <w:tab w:val="left" w:pos="1000"/>
        <w:tab w:val="left" w:pos="1260"/>
      </w:tabs>
      <w:spacing w:line="500" w:lineRule="exact"/>
      <w:ind w:left="1260" w:hanging="420"/>
      <w:textAlignment w:val="baseline"/>
    </w:pPr>
    <w:rPr>
      <w:rFonts w:ascii="宋体" w:hAnsi="宋体"/>
      <w:color w:val="000000"/>
      <w:sz w:val="24"/>
      <w:szCs w:val="20"/>
    </w:rPr>
  </w:style>
  <w:style w:type="character" w:customStyle="1" w:styleId="258">
    <w:name w:val="UserStyle_116"/>
    <w:qFormat/>
    <w:uiPriority w:val="0"/>
    <w:rPr>
      <w:rFonts w:ascii="Arial" w:hAnsi="Arial" w:cs="Arial"/>
      <w:b/>
      <w:bCs/>
      <w:sz w:val="21"/>
      <w:szCs w:val="21"/>
    </w:rPr>
  </w:style>
  <w:style w:type="character" w:customStyle="1" w:styleId="259">
    <w:name w:val="UserStyle_91"/>
    <w:qFormat/>
    <w:locked/>
    <w:uiPriority w:val="0"/>
    <w:rPr>
      <w:rFonts w:ascii="宋体"/>
      <w:sz w:val="34"/>
    </w:rPr>
  </w:style>
  <w:style w:type="character" w:customStyle="1" w:styleId="260">
    <w:name w:val="UserStyle_115"/>
    <w:qFormat/>
    <w:uiPriority w:val="0"/>
    <w:rPr>
      <w:rFonts w:ascii="Times New Roman" w:hAnsi="Times New Roman"/>
      <w:color w:val="000000"/>
      <w:sz w:val="24"/>
      <w:szCs w:val="24"/>
    </w:rPr>
  </w:style>
  <w:style w:type="character" w:customStyle="1" w:styleId="261">
    <w:name w:val="明显引用 Char1"/>
    <w:qFormat/>
    <w:uiPriority w:val="30"/>
    <w:rPr>
      <w:i/>
      <w:iCs/>
      <w:color w:val="5B9BD5"/>
      <w:kern w:val="2"/>
      <w:sz w:val="21"/>
      <w:szCs w:val="24"/>
    </w:rPr>
  </w:style>
  <w:style w:type="character" w:customStyle="1" w:styleId="262">
    <w:name w:val="UserStyle_85"/>
    <w:link w:val="263"/>
    <w:qFormat/>
    <w:uiPriority w:val="0"/>
    <w:rPr>
      <w:rFonts w:eastAsia="黑体"/>
      <w:szCs w:val="21"/>
    </w:rPr>
  </w:style>
  <w:style w:type="paragraph" w:customStyle="1" w:styleId="263">
    <w:name w:val="UserStyle_86"/>
    <w:basedOn w:val="1"/>
    <w:link w:val="262"/>
    <w:qFormat/>
    <w:uiPriority w:val="0"/>
    <w:pPr>
      <w:widowControl/>
      <w:spacing w:before="50" w:after="50" w:line="440" w:lineRule="exact"/>
      <w:jc w:val="center"/>
      <w:textAlignment w:val="baseline"/>
    </w:pPr>
    <w:rPr>
      <w:rFonts w:eastAsia="黑体"/>
      <w:kern w:val="0"/>
      <w:sz w:val="20"/>
      <w:szCs w:val="21"/>
    </w:rPr>
  </w:style>
  <w:style w:type="character" w:customStyle="1" w:styleId="264">
    <w:name w:val="UserStyle_161"/>
    <w:link w:val="265"/>
    <w:qFormat/>
    <w:uiPriority w:val="0"/>
    <w:rPr>
      <w:kern w:val="2"/>
      <w:sz w:val="21"/>
      <w:szCs w:val="22"/>
    </w:rPr>
  </w:style>
  <w:style w:type="paragraph" w:customStyle="1" w:styleId="265">
    <w:name w:val="AnnotationText"/>
    <w:basedOn w:val="1"/>
    <w:link w:val="264"/>
    <w:qFormat/>
    <w:uiPriority w:val="0"/>
    <w:pPr>
      <w:widowControl/>
      <w:jc w:val="left"/>
      <w:textAlignment w:val="baseline"/>
    </w:pPr>
    <w:rPr>
      <w:szCs w:val="22"/>
    </w:rPr>
  </w:style>
  <w:style w:type="character" w:customStyle="1" w:styleId="266">
    <w:name w:val="UserStyle_57"/>
    <w:qFormat/>
    <w:uiPriority w:val="0"/>
    <w:rPr>
      <w:color w:val="FF0000"/>
    </w:rPr>
  </w:style>
  <w:style w:type="character" w:customStyle="1" w:styleId="267">
    <w:name w:val="UserStyle_62"/>
    <w:link w:val="268"/>
    <w:qFormat/>
    <w:uiPriority w:val="0"/>
    <w:rPr>
      <w:b/>
      <w:bCs/>
      <w:kern w:val="2"/>
      <w:sz w:val="21"/>
    </w:rPr>
  </w:style>
  <w:style w:type="paragraph" w:customStyle="1" w:styleId="268">
    <w:name w:val="AnnotationSubject"/>
    <w:basedOn w:val="265"/>
    <w:next w:val="265"/>
    <w:link w:val="267"/>
    <w:qFormat/>
    <w:uiPriority w:val="0"/>
    <w:rPr>
      <w:b/>
      <w:bCs/>
      <w:szCs w:val="20"/>
    </w:rPr>
  </w:style>
  <w:style w:type="character" w:customStyle="1" w:styleId="269">
    <w:name w:val="UserStyle_168"/>
    <w:qFormat/>
    <w:uiPriority w:val="0"/>
    <w:rPr>
      <w:sz w:val="22"/>
      <w:szCs w:val="22"/>
    </w:rPr>
  </w:style>
  <w:style w:type="character" w:customStyle="1" w:styleId="270">
    <w:name w:val="批注主题 Char2"/>
    <w:qFormat/>
    <w:uiPriority w:val="99"/>
    <w:rPr>
      <w:b/>
      <w:bCs/>
      <w:kern w:val="2"/>
      <w:sz w:val="21"/>
      <w:szCs w:val="24"/>
    </w:rPr>
  </w:style>
  <w:style w:type="character" w:customStyle="1" w:styleId="271">
    <w:name w:val="UserStyle_92"/>
    <w:link w:val="272"/>
    <w:qFormat/>
    <w:uiPriority w:val="0"/>
    <w:rPr>
      <w:rFonts w:ascii="Arial" w:hAnsi="Arial"/>
      <w:vanish/>
      <w:sz w:val="16"/>
      <w:szCs w:val="16"/>
    </w:rPr>
  </w:style>
  <w:style w:type="paragraph" w:customStyle="1" w:styleId="272">
    <w:name w:val="FormTop"/>
    <w:basedOn w:val="1"/>
    <w:next w:val="1"/>
    <w:link w:val="271"/>
    <w:qFormat/>
    <w:uiPriority w:val="0"/>
    <w:pPr>
      <w:widowControl/>
      <w:pBdr>
        <w:bottom w:val="single" w:color="000000" w:sz="6" w:space="1"/>
      </w:pBdr>
      <w:jc w:val="center"/>
      <w:textAlignment w:val="baseline"/>
    </w:pPr>
    <w:rPr>
      <w:rFonts w:ascii="Arial" w:hAnsi="Arial"/>
      <w:vanish/>
      <w:kern w:val="0"/>
      <w:sz w:val="16"/>
      <w:szCs w:val="16"/>
    </w:rPr>
  </w:style>
  <w:style w:type="character" w:customStyle="1" w:styleId="273">
    <w:name w:val="UserStyle_134"/>
    <w:qFormat/>
    <w:uiPriority w:val="0"/>
    <w:rPr>
      <w:rFonts w:ascii="Arial" w:hAnsi="Arial" w:eastAsia="黑体" w:cs="Times New Roman"/>
      <w:b/>
      <w:bCs/>
      <w:sz w:val="32"/>
      <w:szCs w:val="32"/>
      <w:lang w:val="en-US" w:eastAsia="zh-CN" w:bidi="ar-SA"/>
    </w:rPr>
  </w:style>
  <w:style w:type="character" w:customStyle="1" w:styleId="274">
    <w:name w:val="UserStyle_162"/>
    <w:link w:val="275"/>
    <w:qFormat/>
    <w:uiPriority w:val="0"/>
    <w:rPr>
      <w:rFonts w:eastAsia="楷体"/>
      <w:sz w:val="24"/>
    </w:rPr>
  </w:style>
  <w:style w:type="paragraph" w:customStyle="1" w:styleId="275">
    <w:name w:val="BodyTextIndent3"/>
    <w:basedOn w:val="1"/>
    <w:link w:val="274"/>
    <w:qFormat/>
    <w:uiPriority w:val="0"/>
    <w:pPr>
      <w:widowControl/>
      <w:spacing w:line="360" w:lineRule="auto"/>
      <w:ind w:left="960"/>
      <w:jc w:val="left"/>
      <w:textAlignment w:val="baseline"/>
    </w:pPr>
    <w:rPr>
      <w:rFonts w:eastAsia="楷体"/>
      <w:kern w:val="0"/>
      <w:sz w:val="24"/>
      <w:szCs w:val="20"/>
    </w:rPr>
  </w:style>
  <w:style w:type="character" w:customStyle="1" w:styleId="276">
    <w:name w:val="UserStyle_74"/>
    <w:link w:val="277"/>
    <w:qFormat/>
    <w:uiPriority w:val="0"/>
    <w:rPr>
      <w:rFonts w:ascii="Arial Unicode MS" w:hAnsi="Arial Unicode MS" w:eastAsia="Arial Unicode MS"/>
    </w:rPr>
  </w:style>
  <w:style w:type="paragraph" w:customStyle="1" w:styleId="277">
    <w:name w:val="HtmlPre"/>
    <w:basedOn w:val="1"/>
    <w:link w:val="27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Arial Unicode MS" w:hAnsi="Arial Unicode MS" w:eastAsia="Arial Unicode MS"/>
      <w:kern w:val="0"/>
      <w:sz w:val="20"/>
      <w:szCs w:val="20"/>
    </w:rPr>
  </w:style>
  <w:style w:type="character" w:customStyle="1" w:styleId="278">
    <w:name w:val="UserStyle_123"/>
    <w:link w:val="279"/>
    <w:qFormat/>
    <w:uiPriority w:val="0"/>
    <w:rPr>
      <w:rFonts w:ascii="宋体" w:hAnsi="Courier New"/>
      <w:kern w:val="2"/>
      <w:sz w:val="24"/>
    </w:rPr>
  </w:style>
  <w:style w:type="paragraph" w:customStyle="1" w:styleId="279">
    <w:name w:val="PlainText"/>
    <w:basedOn w:val="1"/>
    <w:link w:val="278"/>
    <w:qFormat/>
    <w:uiPriority w:val="0"/>
    <w:pPr>
      <w:widowControl/>
      <w:spacing w:line="360" w:lineRule="auto"/>
      <w:textAlignment w:val="baseline"/>
    </w:pPr>
    <w:rPr>
      <w:rFonts w:ascii="宋体" w:hAnsi="Courier New"/>
      <w:sz w:val="24"/>
      <w:szCs w:val="20"/>
    </w:rPr>
  </w:style>
  <w:style w:type="character" w:customStyle="1" w:styleId="280">
    <w:name w:val="UserStyle_55"/>
    <w:qFormat/>
    <w:uiPriority w:val="0"/>
  </w:style>
  <w:style w:type="character" w:customStyle="1" w:styleId="281">
    <w:name w:val="UserStyle_75"/>
    <w:qFormat/>
    <w:uiPriority w:val="0"/>
    <w:rPr>
      <w:rFonts w:ascii="Arial" w:hAnsi="Arial" w:eastAsia="Times New Roman"/>
      <w:sz w:val="20"/>
    </w:rPr>
  </w:style>
  <w:style w:type="character" w:customStyle="1" w:styleId="282">
    <w:name w:val="UserStyle_4"/>
    <w:link w:val="283"/>
    <w:qFormat/>
    <w:uiPriority w:val="0"/>
    <w:rPr>
      <w:rFonts w:ascii="宋体"/>
      <w:sz w:val="24"/>
    </w:rPr>
  </w:style>
  <w:style w:type="paragraph" w:customStyle="1" w:styleId="283">
    <w:name w:val="UserStyle_5"/>
    <w:basedOn w:val="1"/>
    <w:link w:val="282"/>
    <w:qFormat/>
    <w:uiPriority w:val="0"/>
    <w:pPr>
      <w:widowControl/>
      <w:spacing w:line="360" w:lineRule="auto"/>
      <w:textAlignment w:val="baseline"/>
    </w:pPr>
    <w:rPr>
      <w:rFonts w:ascii="宋体"/>
      <w:kern w:val="0"/>
      <w:sz w:val="24"/>
      <w:szCs w:val="20"/>
    </w:rPr>
  </w:style>
  <w:style w:type="character" w:customStyle="1" w:styleId="284">
    <w:name w:val="UserStyle_128"/>
    <w:qFormat/>
    <w:uiPriority w:val="0"/>
    <w:rPr>
      <w:kern w:val="2"/>
      <w:sz w:val="18"/>
      <w:szCs w:val="18"/>
    </w:rPr>
  </w:style>
  <w:style w:type="character" w:customStyle="1" w:styleId="285">
    <w:name w:val="UserStyle_3"/>
    <w:link w:val="286"/>
    <w:qFormat/>
    <w:uiPriority w:val="0"/>
    <w:rPr>
      <w:kern w:val="2"/>
      <w:sz w:val="18"/>
      <w:szCs w:val="18"/>
    </w:rPr>
  </w:style>
  <w:style w:type="paragraph" w:customStyle="1" w:styleId="286">
    <w:name w:val="Acetate"/>
    <w:basedOn w:val="1"/>
    <w:link w:val="285"/>
    <w:qFormat/>
    <w:uiPriority w:val="0"/>
    <w:pPr>
      <w:widowControl/>
      <w:textAlignment w:val="baseline"/>
    </w:pPr>
    <w:rPr>
      <w:sz w:val="18"/>
      <w:szCs w:val="18"/>
    </w:rPr>
  </w:style>
  <w:style w:type="character" w:customStyle="1" w:styleId="287">
    <w:name w:val="UserStyle_77"/>
    <w:uiPriority w:val="0"/>
    <w:rPr>
      <w:lang w:eastAsia="zh-CN"/>
    </w:rPr>
  </w:style>
  <w:style w:type="character" w:customStyle="1" w:styleId="288">
    <w:name w:val="UserStyle_124"/>
    <w:qFormat/>
    <w:uiPriority w:val="0"/>
    <w:rPr>
      <w:rFonts w:ascii="宋体" w:hAnsi="Courier New" w:eastAsia="宋体"/>
      <w:kern w:val="2"/>
      <w:sz w:val="24"/>
      <w:lang w:val="en-US" w:eastAsia="zh-CN" w:bidi="ar-SA"/>
    </w:rPr>
  </w:style>
  <w:style w:type="character" w:customStyle="1" w:styleId="289">
    <w:name w:val="UserStyle_12"/>
    <w:link w:val="290"/>
    <w:qFormat/>
    <w:uiPriority w:val="0"/>
    <w:rPr>
      <w:b/>
      <w:bCs/>
      <w:kern w:val="2"/>
      <w:sz w:val="32"/>
      <w:szCs w:val="32"/>
    </w:rPr>
  </w:style>
  <w:style w:type="paragraph" w:customStyle="1" w:styleId="290">
    <w:name w:val="Heading3"/>
    <w:basedOn w:val="1"/>
    <w:next w:val="1"/>
    <w:link w:val="289"/>
    <w:qFormat/>
    <w:uiPriority w:val="0"/>
    <w:pPr>
      <w:keepNext/>
      <w:keepLines/>
      <w:widowControl/>
      <w:spacing w:before="260" w:after="260" w:line="413" w:lineRule="auto"/>
      <w:textAlignment w:val="baseline"/>
    </w:pPr>
    <w:rPr>
      <w:b/>
      <w:bCs/>
      <w:sz w:val="32"/>
      <w:szCs w:val="32"/>
    </w:rPr>
  </w:style>
  <w:style w:type="character" w:customStyle="1" w:styleId="291">
    <w:name w:val="UserStyle_102"/>
    <w:uiPriority w:val="0"/>
    <w:rPr>
      <w:rFonts w:eastAsia="宋体"/>
      <w:kern w:val="2"/>
      <w:sz w:val="18"/>
      <w:lang w:bidi="ar-SA"/>
    </w:rPr>
  </w:style>
  <w:style w:type="character" w:customStyle="1" w:styleId="292">
    <w:name w:val="UserStyle_30"/>
    <w:semiHidden/>
    <w:qFormat/>
    <w:uiPriority w:val="0"/>
    <w:rPr>
      <w:kern w:val="2"/>
      <w:sz w:val="21"/>
    </w:rPr>
  </w:style>
  <w:style w:type="character" w:customStyle="1" w:styleId="293">
    <w:name w:val="普通文字1 Char"/>
    <w:uiPriority w:val="0"/>
    <w:rPr>
      <w:rFonts w:ascii="宋体" w:hAnsi="Courier New" w:eastAsia="宋体"/>
      <w:kern w:val="2"/>
      <w:sz w:val="21"/>
      <w:lang w:val="en-US" w:eastAsia="zh-CN" w:bidi="ar-SA"/>
    </w:rPr>
  </w:style>
  <w:style w:type="character" w:customStyle="1" w:styleId="294">
    <w:name w:val="UserStyle_83"/>
    <w:qFormat/>
    <w:uiPriority w:val="0"/>
    <w:rPr>
      <w:rFonts w:ascii="宋体" w:eastAsia="宋体"/>
      <w:b/>
      <w:kern w:val="44"/>
      <w:sz w:val="32"/>
      <w:lang w:bidi="ar-SA"/>
    </w:rPr>
  </w:style>
  <w:style w:type="character" w:customStyle="1" w:styleId="295">
    <w:name w:val="UserStyle_42"/>
    <w:qFormat/>
    <w:uiPriority w:val="0"/>
  </w:style>
  <w:style w:type="character" w:customStyle="1" w:styleId="296">
    <w:name w:val="UserStyle_166"/>
    <w:link w:val="297"/>
    <w:qFormat/>
    <w:uiPriority w:val="0"/>
    <w:rPr>
      <w:rFonts w:ascii="Arial" w:hAnsi="Arial"/>
      <w:vanish/>
      <w:sz w:val="16"/>
      <w:szCs w:val="16"/>
    </w:rPr>
  </w:style>
  <w:style w:type="paragraph" w:customStyle="1" w:styleId="297">
    <w:name w:val="FormBottom"/>
    <w:basedOn w:val="1"/>
    <w:next w:val="1"/>
    <w:link w:val="296"/>
    <w:qFormat/>
    <w:uiPriority w:val="0"/>
    <w:pPr>
      <w:widowControl/>
      <w:pBdr>
        <w:top w:val="single" w:color="000000" w:sz="6" w:space="1"/>
      </w:pBdr>
      <w:jc w:val="center"/>
      <w:textAlignment w:val="baseline"/>
    </w:pPr>
    <w:rPr>
      <w:rFonts w:ascii="Arial" w:hAnsi="Arial"/>
      <w:vanish/>
      <w:kern w:val="0"/>
      <w:sz w:val="16"/>
      <w:szCs w:val="16"/>
    </w:rPr>
  </w:style>
  <w:style w:type="character" w:customStyle="1" w:styleId="298">
    <w:name w:val="UserStyle_64"/>
    <w:uiPriority w:val="0"/>
    <w:rPr>
      <w:rFonts w:ascii="宋体" w:hAnsi="Courier New"/>
      <w:kern w:val="2"/>
      <w:sz w:val="21"/>
      <w:szCs w:val="21"/>
    </w:rPr>
  </w:style>
  <w:style w:type="character" w:customStyle="1" w:styleId="299">
    <w:name w:val="AnnotationReference"/>
    <w:qFormat/>
    <w:uiPriority w:val="0"/>
    <w:rPr>
      <w:sz w:val="21"/>
      <w:szCs w:val="21"/>
    </w:rPr>
  </w:style>
  <w:style w:type="character" w:customStyle="1" w:styleId="300">
    <w:name w:val="UserStyle_10"/>
    <w:qFormat/>
    <w:uiPriority w:val="0"/>
    <w:rPr>
      <w:rFonts w:eastAsia="宋体"/>
      <w:kern w:val="2"/>
      <w:sz w:val="21"/>
      <w:lang w:val="en-US" w:eastAsia="zh-CN" w:bidi="ar-SA"/>
    </w:rPr>
  </w:style>
  <w:style w:type="character" w:customStyle="1" w:styleId="301">
    <w:name w:val="UserStyle_109"/>
    <w:locked/>
    <w:uiPriority w:val="0"/>
    <w:rPr>
      <w:rFonts w:ascii="宋体" w:hAnsi="宋体" w:eastAsia="宋体"/>
      <w:kern w:val="2"/>
      <w:sz w:val="21"/>
      <w:lang w:val="en-US" w:eastAsia="zh-CN" w:bidi="ar-SA"/>
    </w:rPr>
  </w:style>
  <w:style w:type="character" w:customStyle="1" w:styleId="302">
    <w:name w:val="UserStyle_160"/>
    <w:qFormat/>
    <w:uiPriority w:val="0"/>
    <w:rPr>
      <w:color w:val="366FB6"/>
    </w:rPr>
  </w:style>
  <w:style w:type="character" w:customStyle="1" w:styleId="303">
    <w:name w:val="UserStyle_130"/>
    <w:qFormat/>
    <w:locked/>
    <w:uiPriority w:val="0"/>
    <w:rPr>
      <w:rFonts w:ascii="Calibri" w:hAnsi="Calibri"/>
      <w:kern w:val="2"/>
      <w:sz w:val="22"/>
    </w:rPr>
  </w:style>
  <w:style w:type="character" w:customStyle="1" w:styleId="304">
    <w:name w:val="文档结构图 Char1"/>
    <w:uiPriority w:val="0"/>
    <w:rPr>
      <w:rFonts w:ascii="宋体"/>
      <w:kern w:val="2"/>
      <w:sz w:val="18"/>
      <w:szCs w:val="18"/>
    </w:rPr>
  </w:style>
  <w:style w:type="character" w:customStyle="1" w:styleId="305">
    <w:name w:val="UserStyle_167"/>
    <w:uiPriority w:val="0"/>
    <w:rPr>
      <w:kern w:val="2"/>
      <w:sz w:val="18"/>
      <w:szCs w:val="18"/>
    </w:rPr>
  </w:style>
  <w:style w:type="character" w:customStyle="1" w:styleId="306">
    <w:name w:val="UserStyle_125"/>
    <w:uiPriority w:val="0"/>
    <w:rPr>
      <w:rFonts w:ascii="Courier New" w:hAnsi="Courier New"/>
      <w:kern w:val="2"/>
    </w:rPr>
  </w:style>
  <w:style w:type="character" w:customStyle="1" w:styleId="307">
    <w:name w:val="UserStyle_2"/>
    <w:qFormat/>
    <w:uiPriority w:val="0"/>
    <w:rPr>
      <w:rFonts w:eastAsia="宋体"/>
      <w:kern w:val="2"/>
      <w:sz w:val="21"/>
      <w:szCs w:val="24"/>
      <w:lang w:val="en-US" w:eastAsia="zh-CN" w:bidi="ar-SA"/>
    </w:rPr>
  </w:style>
  <w:style w:type="character" w:customStyle="1" w:styleId="308">
    <w:name w:val="UserStyle_67"/>
    <w:link w:val="309"/>
    <w:qFormat/>
    <w:uiPriority w:val="0"/>
    <w:rPr>
      <w:b/>
      <w:bCs/>
      <w:kern w:val="44"/>
      <w:sz w:val="44"/>
      <w:szCs w:val="44"/>
    </w:rPr>
  </w:style>
  <w:style w:type="paragraph" w:customStyle="1" w:styleId="309">
    <w:name w:val="Heading1"/>
    <w:basedOn w:val="1"/>
    <w:next w:val="1"/>
    <w:link w:val="308"/>
    <w:qFormat/>
    <w:uiPriority w:val="0"/>
    <w:pPr>
      <w:keepNext/>
      <w:keepLines/>
      <w:widowControl/>
      <w:spacing w:before="340" w:after="330" w:line="578" w:lineRule="auto"/>
      <w:textAlignment w:val="baseline"/>
    </w:pPr>
    <w:rPr>
      <w:b/>
      <w:bCs/>
      <w:kern w:val="44"/>
      <w:sz w:val="44"/>
      <w:szCs w:val="44"/>
    </w:rPr>
  </w:style>
  <w:style w:type="character" w:customStyle="1" w:styleId="310">
    <w:name w:val="UserStyle_127"/>
    <w:qFormat/>
    <w:uiPriority w:val="0"/>
  </w:style>
  <w:style w:type="character" w:customStyle="1" w:styleId="311">
    <w:name w:val="UserStyle_13"/>
    <w:qFormat/>
    <w:uiPriority w:val="0"/>
    <w:rPr>
      <w:rFonts w:ascii="Times New Roman" w:hAnsi="Times New Roman"/>
    </w:rPr>
  </w:style>
  <w:style w:type="character" w:customStyle="1" w:styleId="312">
    <w:name w:val="不明显强调1"/>
    <w:qFormat/>
    <w:uiPriority w:val="0"/>
    <w:rPr>
      <w:i/>
      <w:iCs/>
      <w:color w:val="808080"/>
    </w:rPr>
  </w:style>
  <w:style w:type="character" w:customStyle="1" w:styleId="313">
    <w:name w:val="正文文本 Char1"/>
    <w:uiPriority w:val="0"/>
    <w:rPr>
      <w:kern w:val="2"/>
      <w:sz w:val="21"/>
      <w:szCs w:val="22"/>
    </w:rPr>
  </w:style>
  <w:style w:type="character" w:customStyle="1" w:styleId="314">
    <w:name w:val="UserStyle_147"/>
    <w:qFormat/>
    <w:uiPriority w:val="0"/>
  </w:style>
  <w:style w:type="character" w:customStyle="1" w:styleId="315">
    <w:name w:val="UserStyle_14"/>
    <w:link w:val="316"/>
    <w:qFormat/>
    <w:uiPriority w:val="0"/>
    <w:rPr>
      <w:kern w:val="2"/>
      <w:sz w:val="24"/>
      <w:szCs w:val="24"/>
    </w:rPr>
  </w:style>
  <w:style w:type="paragraph" w:customStyle="1" w:styleId="316">
    <w:name w:val="UserStyle_15"/>
    <w:basedOn w:val="1"/>
    <w:link w:val="315"/>
    <w:qFormat/>
    <w:uiPriority w:val="0"/>
    <w:pPr>
      <w:widowControl/>
      <w:numPr>
        <w:ilvl w:val="0"/>
        <w:numId w:val="3"/>
      </w:numPr>
      <w:tabs>
        <w:tab w:val="left" w:pos="900"/>
      </w:tabs>
      <w:spacing w:before="156" w:after="156" w:line="300" w:lineRule="auto"/>
    </w:pPr>
    <w:rPr>
      <w:sz w:val="24"/>
    </w:rPr>
  </w:style>
  <w:style w:type="character" w:customStyle="1" w:styleId="317">
    <w:name w:val="UserStyle_148"/>
    <w:link w:val="318"/>
    <w:qFormat/>
    <w:uiPriority w:val="0"/>
    <w:rPr>
      <w:rFonts w:ascii="宋体"/>
      <w:kern w:val="2"/>
      <w:sz w:val="18"/>
      <w:szCs w:val="18"/>
    </w:rPr>
  </w:style>
  <w:style w:type="paragraph" w:customStyle="1" w:styleId="318">
    <w:name w:val="NavPane"/>
    <w:basedOn w:val="1"/>
    <w:link w:val="317"/>
    <w:qFormat/>
    <w:uiPriority w:val="0"/>
    <w:pPr>
      <w:widowControl/>
      <w:textAlignment w:val="baseline"/>
    </w:pPr>
    <w:rPr>
      <w:rFonts w:ascii="宋体"/>
      <w:sz w:val="18"/>
      <w:szCs w:val="18"/>
    </w:rPr>
  </w:style>
  <w:style w:type="character" w:customStyle="1" w:styleId="319">
    <w:name w:val="PageNumber"/>
    <w:qFormat/>
    <w:uiPriority w:val="0"/>
  </w:style>
  <w:style w:type="character" w:customStyle="1" w:styleId="320">
    <w:name w:val="正文文本 Char2"/>
    <w:uiPriority w:val="99"/>
    <w:rPr>
      <w:kern w:val="2"/>
      <w:sz w:val="21"/>
      <w:szCs w:val="24"/>
    </w:rPr>
  </w:style>
  <w:style w:type="character" w:customStyle="1" w:styleId="321">
    <w:name w:val="UserStyle_41"/>
    <w:qFormat/>
    <w:uiPriority w:val="0"/>
    <w:rPr>
      <w:rFonts w:eastAsia="宋体"/>
      <w:kern w:val="2"/>
      <w:sz w:val="18"/>
      <w:lang w:val="en-US" w:eastAsia="zh-CN" w:bidi="ar-SA"/>
    </w:rPr>
  </w:style>
  <w:style w:type="character" w:customStyle="1" w:styleId="322">
    <w:name w:val="UserStyle_63"/>
    <w:semiHidden/>
    <w:qFormat/>
    <w:uiPriority w:val="0"/>
    <w:rPr>
      <w:rFonts w:ascii="Times New Roman" w:hAnsi="Times New Roman" w:eastAsia="宋体"/>
      <w:szCs w:val="20"/>
    </w:rPr>
  </w:style>
  <w:style w:type="character" w:customStyle="1" w:styleId="323">
    <w:name w:val="font51"/>
    <w:qFormat/>
    <w:uiPriority w:val="0"/>
    <w:rPr>
      <w:rFonts w:hint="eastAsia" w:ascii="微软雅黑" w:hAnsi="微软雅黑" w:eastAsia="微软雅黑" w:cs="微软雅黑"/>
      <w:color w:val="000000"/>
      <w:sz w:val="16"/>
      <w:szCs w:val="16"/>
      <w:u w:val="none"/>
    </w:rPr>
  </w:style>
  <w:style w:type="character" w:customStyle="1" w:styleId="324">
    <w:name w:val="font111"/>
    <w:qFormat/>
    <w:uiPriority w:val="0"/>
    <w:rPr>
      <w:rFonts w:hint="eastAsia" w:ascii="微软雅黑" w:hAnsi="微软雅黑" w:eastAsia="微软雅黑" w:cs="微软雅黑"/>
      <w:color w:val="000000"/>
      <w:sz w:val="18"/>
      <w:szCs w:val="18"/>
      <w:u w:val="none"/>
    </w:rPr>
  </w:style>
  <w:style w:type="paragraph" w:customStyle="1" w:styleId="325">
    <w:name w:val="UserStyle_195"/>
    <w:basedOn w:val="94"/>
    <w:qFormat/>
    <w:uiPriority w:val="0"/>
  </w:style>
  <w:style w:type="paragraph" w:customStyle="1" w:styleId="326">
    <w:name w:val="正文文本缩进 21"/>
    <w:basedOn w:val="1"/>
    <w:uiPriority w:val="0"/>
    <w:pPr>
      <w:ind w:left="630" w:firstLine="645"/>
    </w:pPr>
    <w:rPr>
      <w:rFonts w:ascii="Arial" w:hAnsi="Arial" w:eastAsia="仿宋_GB2312"/>
      <w:sz w:val="32"/>
      <w:szCs w:val="20"/>
    </w:rPr>
  </w:style>
  <w:style w:type="paragraph" w:customStyle="1" w:styleId="327">
    <w:name w:val="UserStyle_252"/>
    <w:basedOn w:val="1"/>
    <w:uiPriority w:val="0"/>
    <w:pPr>
      <w:widowControl/>
      <w:spacing w:before="100" w:beforeAutospacing="1" w:after="100" w:afterAutospacing="1"/>
      <w:jc w:val="center"/>
      <w:textAlignment w:val="baseline"/>
    </w:pPr>
    <w:rPr>
      <w:rFonts w:ascii="宋体" w:hAnsi="宋体"/>
      <w:kern w:val="0"/>
      <w:sz w:val="34"/>
      <w:szCs w:val="20"/>
    </w:rPr>
  </w:style>
  <w:style w:type="paragraph" w:customStyle="1" w:styleId="328">
    <w:name w:val="UserStyle_28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ascii="Arial Unicode MS" w:hAnsi="Arial Unicode MS" w:eastAsia="Arial Unicode MS"/>
      <w:color w:val="000000"/>
      <w:kern w:val="0"/>
      <w:sz w:val="20"/>
      <w:szCs w:val="20"/>
    </w:rPr>
  </w:style>
  <w:style w:type="paragraph" w:customStyle="1" w:styleId="329">
    <w:name w:val="UserStyle_2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330">
    <w:name w:val="UserStyle_365"/>
    <w:basedOn w:val="1"/>
    <w:uiPriority w:val="0"/>
    <w:pPr>
      <w:widowControl/>
      <w:numPr>
        <w:ilvl w:val="3"/>
        <w:numId w:val="2"/>
      </w:numPr>
      <w:tabs>
        <w:tab w:val="left" w:pos="6131"/>
        <w:tab w:val="clear" w:pos="1680"/>
      </w:tabs>
      <w:ind w:left="0" w:firstLine="0"/>
      <w:jc w:val="left"/>
    </w:pPr>
    <w:rPr>
      <w:rFonts w:ascii="宋体"/>
      <w:kern w:val="0"/>
      <w:sz w:val="34"/>
      <w:szCs w:val="20"/>
    </w:rPr>
  </w:style>
  <w:style w:type="paragraph" w:customStyle="1" w:styleId="331">
    <w:name w:val="UserStyle_391"/>
    <w:basedOn w:val="1"/>
    <w:uiPriority w:val="0"/>
    <w:pPr>
      <w:widowControl/>
      <w:spacing w:before="100" w:beforeAutospacing="1" w:after="100" w:afterAutospacing="1"/>
      <w:jc w:val="left"/>
      <w:textAlignment w:val="baseline"/>
    </w:pPr>
    <w:rPr>
      <w:rFonts w:ascii="宋体" w:hAnsi="宋体"/>
      <w:kern w:val="0"/>
      <w:sz w:val="18"/>
      <w:szCs w:val="18"/>
    </w:rPr>
  </w:style>
  <w:style w:type="paragraph" w:customStyle="1" w:styleId="332">
    <w:name w:val="UserStyle_386"/>
    <w:basedOn w:val="1"/>
    <w:uiPriority w:val="0"/>
    <w:pPr>
      <w:widowControl/>
      <w:spacing w:before="100" w:beforeAutospacing="1" w:after="100" w:afterAutospacing="1"/>
      <w:jc w:val="left"/>
      <w:textAlignment w:val="baseline"/>
    </w:pPr>
    <w:rPr>
      <w:rFonts w:ascii="宋体" w:hAnsi="宋体"/>
      <w:kern w:val="0"/>
      <w:sz w:val="24"/>
    </w:rPr>
  </w:style>
  <w:style w:type="paragraph" w:customStyle="1" w:styleId="333">
    <w:name w:val="UserStyle_204"/>
    <w:basedOn w:val="309"/>
    <w:qFormat/>
    <w:uiPriority w:val="0"/>
    <w:pPr>
      <w:pageBreakBefore/>
      <w:tabs>
        <w:tab w:val="left" w:pos="840"/>
      </w:tabs>
      <w:spacing w:line="360" w:lineRule="auto"/>
      <w:ind w:left="840" w:hanging="420"/>
      <w:jc w:val="center"/>
    </w:pPr>
    <w:rPr>
      <w:rFonts w:ascii="华文中宋" w:hAnsi="华文中宋" w:eastAsia="华文中宋" w:cs="宋体"/>
      <w:color w:val="000000"/>
      <w:sz w:val="28"/>
      <w:szCs w:val="20"/>
    </w:rPr>
  </w:style>
  <w:style w:type="paragraph" w:customStyle="1" w:styleId="334">
    <w:name w:val="UserStyle_419"/>
    <w:basedOn w:val="156"/>
    <w:qFormat/>
    <w:uiPriority w:val="0"/>
  </w:style>
  <w:style w:type="paragraph" w:customStyle="1" w:styleId="335">
    <w:name w:val="UserStyle_44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baseline"/>
    </w:pPr>
    <w:rPr>
      <w:rFonts w:ascii="宋体" w:hAnsi="宋体"/>
      <w:kern w:val="0"/>
      <w:sz w:val="20"/>
      <w:szCs w:val="20"/>
    </w:rPr>
  </w:style>
  <w:style w:type="paragraph" w:customStyle="1" w:styleId="336">
    <w:name w:val="UserStyle_233"/>
    <w:basedOn w:val="1"/>
    <w:uiPriority w:val="0"/>
    <w:pPr>
      <w:widowControl/>
      <w:spacing w:line="300" w:lineRule="auto"/>
      <w:jc w:val="center"/>
      <w:textAlignment w:val="baseline"/>
    </w:pPr>
    <w:rPr>
      <w:rFonts w:ascii="宋体" w:hAnsi="宋体"/>
      <w:kern w:val="0"/>
      <w:sz w:val="24"/>
      <w:szCs w:val="20"/>
    </w:rPr>
  </w:style>
  <w:style w:type="paragraph" w:customStyle="1" w:styleId="337">
    <w:name w:val="UserStyle_356"/>
    <w:basedOn w:val="1"/>
    <w:qFormat/>
    <w:uiPriority w:val="0"/>
    <w:pPr>
      <w:widowControl/>
      <w:spacing w:after="160" w:line="240" w:lineRule="exact"/>
      <w:jc w:val="left"/>
      <w:textAlignment w:val="baseline"/>
    </w:pPr>
    <w:rPr>
      <w:rFonts w:ascii="Verdana" w:hAnsi="Verdana"/>
      <w:kern w:val="0"/>
      <w:sz w:val="20"/>
      <w:szCs w:val="20"/>
      <w:lang w:eastAsia="en-US"/>
    </w:rPr>
  </w:style>
  <w:style w:type="paragraph" w:customStyle="1" w:styleId="338">
    <w:name w:val="UserStyle_24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ascii="宋体" w:eastAsia="Arial Unicode MS"/>
      <w:color w:val="000000"/>
      <w:kern w:val="0"/>
      <w:sz w:val="20"/>
      <w:szCs w:val="20"/>
    </w:rPr>
  </w:style>
  <w:style w:type="paragraph" w:customStyle="1" w:styleId="339">
    <w:name w:val="UserStyle_37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baseline"/>
    </w:pPr>
    <w:rPr>
      <w:rFonts w:ascii="宋体" w:hAnsi="宋体" w:cs="宋体"/>
      <w:b/>
      <w:bCs/>
      <w:kern w:val="0"/>
      <w:sz w:val="34"/>
      <w:szCs w:val="20"/>
    </w:rPr>
  </w:style>
  <w:style w:type="paragraph" w:customStyle="1" w:styleId="340">
    <w:name w:val="UserStyle_374"/>
    <w:basedOn w:val="1"/>
    <w:qFormat/>
    <w:uiPriority w:val="0"/>
    <w:pPr>
      <w:widowControl/>
      <w:spacing w:after="160" w:line="240" w:lineRule="exact"/>
      <w:jc w:val="left"/>
      <w:textAlignment w:val="baseline"/>
    </w:pPr>
  </w:style>
  <w:style w:type="paragraph" w:customStyle="1" w:styleId="341">
    <w:name w:val="UserStyle_383"/>
    <w:basedOn w:val="214"/>
    <w:uiPriority w:val="0"/>
    <w:pPr>
      <w:numPr>
        <w:ilvl w:val="6"/>
        <w:numId w:val="4"/>
      </w:numPr>
      <w:tabs>
        <w:tab w:val="left" w:pos="1521"/>
        <w:tab w:val="left" w:pos="3827"/>
      </w:tabs>
      <w:spacing w:line="317" w:lineRule="auto"/>
      <w:ind w:left="1521" w:hanging="1095"/>
      <w:textAlignment w:val="auto"/>
    </w:pPr>
    <w:rPr>
      <w:kern w:val="2"/>
    </w:rPr>
  </w:style>
  <w:style w:type="paragraph" w:customStyle="1" w:styleId="342">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43">
    <w:name w:val="UserStyle_242"/>
    <w:basedOn w:val="1"/>
    <w:qFormat/>
    <w:uiPriority w:val="0"/>
    <w:pPr>
      <w:widowControl/>
      <w:spacing w:line="480" w:lineRule="auto"/>
      <w:jc w:val="left"/>
      <w:textAlignment w:val="baseline"/>
    </w:pPr>
    <w:rPr>
      <w:rFonts w:ascii="宋体" w:hAnsi="宋体"/>
      <w:kern w:val="0"/>
      <w:sz w:val="24"/>
      <w:szCs w:val="20"/>
    </w:rPr>
  </w:style>
  <w:style w:type="paragraph" w:customStyle="1" w:styleId="344">
    <w:name w:val="UserStyle_267"/>
    <w:basedOn w:val="1"/>
    <w:qFormat/>
    <w:uiPriority w:val="0"/>
    <w:pPr>
      <w:widowControl/>
      <w:ind w:firstLine="200" w:firstLineChars="200"/>
      <w:textAlignment w:val="baseline"/>
    </w:pPr>
    <w:rPr>
      <w:rFonts w:ascii="宋体"/>
      <w:szCs w:val="20"/>
    </w:rPr>
  </w:style>
  <w:style w:type="paragraph" w:customStyle="1" w:styleId="345">
    <w:name w:val="UserStyle_394"/>
    <w:basedOn w:val="1"/>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left"/>
      <w:textAlignment w:val="center"/>
    </w:pPr>
    <w:rPr>
      <w:rFonts w:ascii="宋体"/>
      <w:kern w:val="0"/>
      <w:sz w:val="34"/>
      <w:szCs w:val="21"/>
    </w:rPr>
  </w:style>
  <w:style w:type="paragraph" w:customStyle="1" w:styleId="346">
    <w:name w:val="UserStyle_4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ascii="宋体" w:hAnsi="宋体"/>
      <w:kern w:val="0"/>
      <w:sz w:val="34"/>
      <w:szCs w:val="20"/>
    </w:rPr>
  </w:style>
  <w:style w:type="paragraph" w:customStyle="1" w:styleId="347">
    <w:name w:val="UserStyle_336"/>
    <w:basedOn w:val="1"/>
    <w:uiPriority w:val="0"/>
    <w:pPr>
      <w:widowControl/>
      <w:spacing w:line="360" w:lineRule="auto"/>
      <w:ind w:firstLine="480"/>
      <w:textAlignment w:val="baseline"/>
    </w:pPr>
    <w:rPr>
      <w:rFonts w:ascii="宋体"/>
      <w:sz w:val="34"/>
      <w:szCs w:val="20"/>
    </w:rPr>
  </w:style>
  <w:style w:type="paragraph" w:customStyle="1" w:styleId="348">
    <w:name w:val="UserStyle_407"/>
    <w:basedOn w:val="1"/>
    <w:qFormat/>
    <w:uiPriority w:val="0"/>
    <w:pPr>
      <w:widowControl/>
      <w:spacing w:before="100" w:beforeAutospacing="1" w:after="100" w:afterAutospacing="1"/>
      <w:jc w:val="left"/>
      <w:textAlignment w:val="baseline"/>
    </w:pPr>
    <w:rPr>
      <w:rFonts w:ascii="宋体"/>
      <w:color w:val="000000"/>
      <w:kern w:val="0"/>
      <w:sz w:val="18"/>
      <w:szCs w:val="18"/>
    </w:rPr>
  </w:style>
  <w:style w:type="paragraph" w:customStyle="1" w:styleId="349">
    <w:name w:val="UserStyle_411"/>
    <w:basedOn w:val="1"/>
    <w:qFormat/>
    <w:uiPriority w:val="0"/>
    <w:pPr>
      <w:widowControl/>
      <w:spacing w:line="300" w:lineRule="auto"/>
      <w:ind w:firstLine="510"/>
      <w:textAlignment w:val="baseline"/>
    </w:pPr>
    <w:rPr>
      <w:rFonts w:ascii="宋体"/>
      <w:sz w:val="34"/>
      <w:szCs w:val="20"/>
    </w:rPr>
  </w:style>
  <w:style w:type="paragraph" w:customStyle="1" w:styleId="350">
    <w:name w:val="TOC8"/>
    <w:basedOn w:val="1"/>
    <w:next w:val="1"/>
    <w:uiPriority w:val="0"/>
    <w:pPr>
      <w:widowControl/>
      <w:ind w:left="2940" w:leftChars="1400"/>
      <w:textAlignment w:val="baseline"/>
    </w:pPr>
    <w:rPr>
      <w:rFonts w:ascii="宋体"/>
      <w:kern w:val="0"/>
      <w:sz w:val="34"/>
    </w:rPr>
  </w:style>
  <w:style w:type="paragraph" w:customStyle="1" w:styleId="351">
    <w:name w:val="UserStyle_273"/>
    <w:basedOn w:val="309"/>
    <w:qFormat/>
    <w:uiPriority w:val="0"/>
    <w:pPr>
      <w:spacing w:line="400" w:lineRule="exact"/>
      <w:ind w:firstLine="2523" w:firstLineChars="700"/>
    </w:pPr>
    <w:rPr>
      <w:rFonts w:cs="宋体"/>
      <w:sz w:val="36"/>
      <w:szCs w:val="20"/>
    </w:rPr>
  </w:style>
  <w:style w:type="paragraph" w:customStyle="1" w:styleId="352">
    <w:name w:val="UserStyle_281"/>
    <w:basedOn w:val="1"/>
    <w:qFormat/>
    <w:uiPriority w:val="0"/>
    <w:pPr>
      <w:widowControl/>
      <w:spacing w:line="360" w:lineRule="auto"/>
      <w:ind w:firstLine="480" w:firstLineChars="200"/>
      <w:textAlignment w:val="baseline"/>
    </w:pPr>
    <w:rPr>
      <w:rFonts w:ascii="仿宋_GB2312" w:eastAsia="新宋体"/>
      <w:kern w:val="0"/>
      <w:sz w:val="24"/>
      <w:szCs w:val="20"/>
    </w:rPr>
  </w:style>
  <w:style w:type="paragraph" w:customStyle="1" w:styleId="353">
    <w:name w:val="UserStyle_263"/>
    <w:basedOn w:val="1"/>
    <w:qFormat/>
    <w:uiPriority w:val="0"/>
    <w:pPr>
      <w:widowControl/>
      <w:spacing w:line="300" w:lineRule="auto"/>
      <w:ind w:firstLine="200" w:firstLineChars="200"/>
      <w:textAlignment w:val="baseline"/>
    </w:pPr>
    <w:rPr>
      <w:rFonts w:ascii="宋体"/>
      <w:sz w:val="34"/>
      <w:szCs w:val="20"/>
    </w:rPr>
  </w:style>
  <w:style w:type="paragraph" w:customStyle="1" w:styleId="354">
    <w:name w:val="UserStyle_287"/>
    <w:basedOn w:val="1"/>
    <w:qFormat/>
    <w:uiPriority w:val="0"/>
    <w:pPr>
      <w:widowControl/>
      <w:tabs>
        <w:tab w:val="left" w:pos="720"/>
      </w:tabs>
      <w:spacing w:line="240" w:lineRule="atLeast"/>
      <w:jc w:val="left"/>
      <w:textAlignment w:val="baseline"/>
    </w:pPr>
    <w:rPr>
      <w:rFonts w:ascii="宋体"/>
      <w:kern w:val="0"/>
      <w:sz w:val="24"/>
      <w:szCs w:val="20"/>
      <w:lang w:val="en-GB" w:eastAsia="de-DE"/>
    </w:rPr>
  </w:style>
  <w:style w:type="paragraph" w:customStyle="1" w:styleId="355">
    <w:name w:val="UserStyle_424"/>
    <w:basedOn w:val="1"/>
    <w:qFormat/>
    <w:uiPriority w:val="0"/>
    <w:pPr>
      <w:widowControl/>
      <w:textAlignment w:val="baseline"/>
    </w:pPr>
    <w:rPr>
      <w:szCs w:val="20"/>
    </w:rPr>
  </w:style>
  <w:style w:type="paragraph" w:customStyle="1" w:styleId="356">
    <w:name w:val="UserStyle_3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Arial Unicode MS" w:hAnsi="Arial Unicode MS" w:eastAsia="Arial Unicode MS"/>
      <w:color w:val="000000"/>
      <w:kern w:val="0"/>
      <w:sz w:val="20"/>
      <w:szCs w:val="20"/>
    </w:rPr>
  </w:style>
  <w:style w:type="paragraph" w:customStyle="1" w:styleId="357">
    <w:name w:val="纯文本1"/>
    <w:basedOn w:val="1"/>
    <w:qFormat/>
    <w:uiPriority w:val="0"/>
    <w:rPr>
      <w:rFonts w:ascii="宋体" w:hAnsi="Courier New" w:cs="Courier New"/>
      <w:szCs w:val="21"/>
    </w:rPr>
  </w:style>
  <w:style w:type="paragraph" w:customStyle="1" w:styleId="358">
    <w:name w:val="UserStyle_403"/>
    <w:basedOn w:val="1"/>
    <w:qFormat/>
    <w:uiPriority w:val="0"/>
    <w:pPr>
      <w:widowControl/>
      <w:jc w:val="center"/>
      <w:textAlignment w:val="baseline"/>
    </w:pPr>
    <w:rPr>
      <w:rFonts w:ascii="宋体"/>
      <w:b/>
      <w:kern w:val="0"/>
      <w:sz w:val="36"/>
      <w:szCs w:val="20"/>
    </w:rPr>
  </w:style>
  <w:style w:type="paragraph" w:customStyle="1" w:styleId="359">
    <w:name w:val="UserStyle_171"/>
    <w:basedOn w:val="94"/>
    <w:qFormat/>
    <w:uiPriority w:val="0"/>
    <w:pPr>
      <w:numPr>
        <w:ilvl w:val="0"/>
        <w:numId w:val="5"/>
      </w:numPr>
      <w:tabs>
        <w:tab w:val="clear" w:pos="780"/>
      </w:tabs>
      <w:ind w:left="0" w:firstLine="0"/>
    </w:pPr>
  </w:style>
  <w:style w:type="paragraph" w:customStyle="1" w:styleId="360">
    <w:name w:val="UserStyle_4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ascii="宋体" w:eastAsia="Arial Unicode MS"/>
      <w:color w:val="000000"/>
      <w:kern w:val="0"/>
      <w:sz w:val="22"/>
      <w:szCs w:val="22"/>
    </w:rPr>
  </w:style>
  <w:style w:type="paragraph" w:customStyle="1" w:styleId="361">
    <w:name w:val="UserStyle_359"/>
    <w:basedOn w:val="1"/>
    <w:qFormat/>
    <w:uiPriority w:val="0"/>
    <w:pPr>
      <w:widowControl/>
      <w:spacing w:before="100" w:beforeAutospacing="1" w:after="100" w:afterAutospacing="1" w:line="432" w:lineRule="auto"/>
      <w:jc w:val="left"/>
      <w:textAlignment w:val="baseline"/>
    </w:pPr>
    <w:rPr>
      <w:rFonts w:ascii="宋体" w:hAnsi="宋体"/>
      <w:kern w:val="0"/>
      <w:sz w:val="34"/>
      <w:szCs w:val="21"/>
    </w:rPr>
  </w:style>
  <w:style w:type="paragraph" w:customStyle="1" w:styleId="362">
    <w:name w:val="UserStyle_4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宋体" w:hAnsi="宋体" w:cs="宋体"/>
      <w:b/>
      <w:bCs/>
      <w:kern w:val="0"/>
      <w:sz w:val="34"/>
      <w:szCs w:val="20"/>
    </w:rPr>
  </w:style>
  <w:style w:type="paragraph" w:customStyle="1" w:styleId="363">
    <w:name w:val="UserStyle_433"/>
    <w:basedOn w:val="1"/>
    <w:qFormat/>
    <w:uiPriority w:val="0"/>
    <w:pPr>
      <w:widowControl/>
      <w:textAlignment w:val="baseline"/>
    </w:pPr>
    <w:rPr>
      <w:rFonts w:ascii="宋体"/>
      <w:kern w:val="0"/>
      <w:sz w:val="34"/>
      <w:szCs w:val="20"/>
    </w:rPr>
  </w:style>
  <w:style w:type="paragraph" w:customStyle="1" w:styleId="364">
    <w:name w:val="UserStyle_405"/>
    <w:basedOn w:val="1"/>
    <w:qFormat/>
    <w:uiPriority w:val="0"/>
    <w:pPr>
      <w:widowControl/>
      <w:pBdr>
        <w:right w:val="single" w:color="000000" w:sz="4" w:space="0"/>
      </w:pBdr>
      <w:spacing w:before="100" w:beforeAutospacing="1" w:after="100" w:afterAutospacing="1"/>
      <w:jc w:val="right"/>
      <w:textAlignment w:val="center"/>
    </w:pPr>
    <w:rPr>
      <w:rFonts w:ascii="宋体"/>
      <w:color w:val="FFFFFF"/>
      <w:kern w:val="0"/>
      <w:sz w:val="34"/>
      <w:szCs w:val="21"/>
    </w:rPr>
  </w:style>
  <w:style w:type="paragraph" w:customStyle="1" w:styleId="365">
    <w:name w:val="UserStyle_212"/>
    <w:basedOn w:val="290"/>
    <w:qFormat/>
    <w:uiPriority w:val="0"/>
    <w:pPr>
      <w:numPr>
        <w:ilvl w:val="2"/>
        <w:numId w:val="6"/>
      </w:numPr>
      <w:tabs>
        <w:tab w:val="clear" w:pos="1260"/>
      </w:tabs>
      <w:ind w:left="0" w:firstLine="0"/>
    </w:pPr>
  </w:style>
  <w:style w:type="paragraph" w:customStyle="1" w:styleId="366">
    <w:name w:val="UserStyle_173"/>
    <w:basedOn w:val="1"/>
    <w:qFormat/>
    <w:uiPriority w:val="0"/>
    <w:pPr>
      <w:widowControl/>
      <w:snapToGrid w:val="0"/>
      <w:spacing w:line="500" w:lineRule="exact"/>
      <w:ind w:firstLine="480" w:firstLineChars="200"/>
      <w:textAlignment w:val="baseline"/>
    </w:pPr>
    <w:rPr>
      <w:rFonts w:ascii="宋体"/>
      <w:kern w:val="0"/>
      <w:sz w:val="24"/>
    </w:rPr>
  </w:style>
  <w:style w:type="paragraph" w:customStyle="1" w:styleId="367">
    <w:name w:val="Char Char Char Char Char Char Char Char Char Char Char Char Char Char1 Char Char Char Char"/>
    <w:basedOn w:val="1"/>
    <w:qFormat/>
    <w:uiPriority w:val="0"/>
    <w:rPr>
      <w:szCs w:val="21"/>
    </w:rPr>
  </w:style>
  <w:style w:type="paragraph" w:customStyle="1" w:styleId="368">
    <w:name w:val="UserStyle_325"/>
    <w:basedOn w:val="1"/>
    <w:qFormat/>
    <w:uiPriority w:val="0"/>
    <w:pPr>
      <w:widowControl/>
      <w:textAlignment w:val="baseline"/>
    </w:pPr>
    <w:rPr>
      <w:rFonts w:ascii="宋体"/>
      <w:kern w:val="0"/>
      <w:sz w:val="34"/>
      <w:szCs w:val="21"/>
    </w:rPr>
  </w:style>
  <w:style w:type="paragraph" w:customStyle="1" w:styleId="369">
    <w:name w:val="UserStyle_312"/>
    <w:basedOn w:val="1"/>
    <w:qFormat/>
    <w:uiPriority w:val="0"/>
    <w:pPr>
      <w:widowControl/>
      <w:spacing w:before="100" w:beforeAutospacing="1" w:after="100" w:afterAutospacing="1" w:line="360" w:lineRule="auto"/>
      <w:ind w:firstLine="360"/>
      <w:jc w:val="left"/>
      <w:textAlignment w:val="baseline"/>
    </w:pPr>
    <w:rPr>
      <w:rFonts w:ascii="宋体" w:hAnsi="宋体"/>
      <w:kern w:val="0"/>
      <w:sz w:val="34"/>
      <w:szCs w:val="20"/>
    </w:rPr>
  </w:style>
  <w:style w:type="paragraph" w:customStyle="1" w:styleId="370">
    <w:name w:val="UserStyle_348"/>
    <w:basedOn w:val="1"/>
    <w:qFormat/>
    <w:uiPriority w:val="0"/>
    <w:pPr>
      <w:widowControl/>
      <w:textAlignment w:val="baseline"/>
    </w:pPr>
    <w:rPr>
      <w:rFonts w:ascii="宋体"/>
      <w:kern w:val="0"/>
      <w:sz w:val="34"/>
      <w:szCs w:val="21"/>
    </w:rPr>
  </w:style>
  <w:style w:type="paragraph" w:customStyle="1" w:styleId="371">
    <w:name w:val="UserStyle_379"/>
    <w:basedOn w:val="1"/>
    <w:qFormat/>
    <w:uiPriority w:val="0"/>
    <w:pPr>
      <w:widowControl/>
      <w:tabs>
        <w:tab w:val="left" w:pos="2835"/>
        <w:tab w:val="left" w:pos="3119"/>
        <w:tab w:val="left" w:pos="3402"/>
        <w:tab w:val="left" w:pos="3686"/>
        <w:tab w:val="left" w:pos="3969"/>
        <w:tab w:val="left" w:pos="4253"/>
      </w:tabs>
      <w:spacing w:after="120"/>
      <w:ind w:left="2552"/>
      <w:jc w:val="left"/>
      <w:textAlignment w:val="baseline"/>
    </w:pPr>
    <w:rPr>
      <w:rFonts w:ascii="Syntax" w:hAnsi="Syntax"/>
      <w:b/>
      <w:kern w:val="0"/>
      <w:sz w:val="20"/>
      <w:szCs w:val="20"/>
      <w:lang w:val="de-DE" w:eastAsia="de-DE"/>
    </w:rPr>
  </w:style>
  <w:style w:type="paragraph" w:customStyle="1" w:styleId="372">
    <w:name w:val="UserStyle_298"/>
    <w:basedOn w:val="309"/>
    <w:qFormat/>
    <w:uiPriority w:val="0"/>
    <w:pPr>
      <w:tabs>
        <w:tab w:val="left" w:pos="4265"/>
      </w:tabs>
      <w:spacing w:line="576" w:lineRule="auto"/>
      <w:jc w:val="center"/>
    </w:pPr>
    <w:rPr>
      <w:rFonts w:eastAsia="华文中宋"/>
      <w:bCs w:val="0"/>
      <w:color w:val="000000"/>
      <w:szCs w:val="20"/>
    </w:rPr>
  </w:style>
  <w:style w:type="paragraph" w:customStyle="1" w:styleId="373">
    <w:name w:val="UserStyle_413"/>
    <w:basedOn w:val="1"/>
    <w:qFormat/>
    <w:uiPriority w:val="0"/>
    <w:pPr>
      <w:widowControl/>
      <w:spacing w:before="100" w:beforeAutospacing="1" w:after="100" w:afterAutospacing="1"/>
      <w:jc w:val="left"/>
      <w:textAlignment w:val="baseline"/>
    </w:pPr>
    <w:rPr>
      <w:rFonts w:ascii="Arial Unicode MS" w:hAnsi="Arial Unicode MS" w:eastAsia="Arial Unicode MS"/>
      <w:color w:val="000000"/>
      <w:kern w:val="0"/>
      <w:sz w:val="20"/>
      <w:szCs w:val="20"/>
    </w:rPr>
  </w:style>
  <w:style w:type="paragraph" w:customStyle="1" w:styleId="374">
    <w:name w:val="UserStyle_272"/>
    <w:basedOn w:val="1"/>
    <w:next w:val="1"/>
    <w:qFormat/>
    <w:uiPriority w:val="0"/>
    <w:pPr>
      <w:widowControl/>
      <w:spacing w:line="240" w:lineRule="atLeast"/>
      <w:ind w:left="420" w:firstLine="420"/>
      <w:jc w:val="left"/>
      <w:textAlignment w:val="baseline"/>
    </w:pPr>
    <w:rPr>
      <w:rFonts w:ascii="宋体"/>
      <w:kern w:val="0"/>
      <w:szCs w:val="21"/>
    </w:rPr>
  </w:style>
  <w:style w:type="paragraph" w:customStyle="1" w:styleId="375">
    <w:name w:val="UserStyle_404"/>
    <w:basedOn w:val="1"/>
    <w:qFormat/>
    <w:uiPriority w:val="0"/>
    <w:pPr>
      <w:widowControl/>
      <w:spacing w:after="160" w:line="240" w:lineRule="exact"/>
      <w:jc w:val="left"/>
      <w:textAlignment w:val="baseline"/>
    </w:pPr>
    <w:rPr>
      <w:rFonts w:ascii="Tahoma" w:hAnsi="Tahoma" w:eastAsia="Times New Roman"/>
      <w:kern w:val="0"/>
      <w:sz w:val="34"/>
      <w:szCs w:val="20"/>
      <w:lang w:eastAsia="en-US"/>
    </w:rPr>
  </w:style>
  <w:style w:type="paragraph" w:customStyle="1" w:styleId="376">
    <w:name w:val="UserStyle_220"/>
    <w:next w:val="1"/>
    <w:qFormat/>
    <w:uiPriority w:val="0"/>
    <w:pPr>
      <w:numPr>
        <w:ilvl w:val="7"/>
        <w:numId w:val="2"/>
      </w:numPr>
      <w:tabs>
        <w:tab w:val="left" w:pos="1418"/>
        <w:tab w:val="clear" w:pos="3360"/>
      </w:tabs>
      <w:spacing w:after="312"/>
      <w:ind w:left="0" w:firstLine="0"/>
      <w:jc w:val="center"/>
    </w:pPr>
    <w:rPr>
      <w:rFonts w:ascii="Arial" w:hAnsi="Arial" w:eastAsia="宋体" w:cs="Times New Roman"/>
      <w:sz w:val="18"/>
      <w:lang w:val="en-US" w:eastAsia="zh-CN" w:bidi="ar-SA"/>
    </w:rPr>
  </w:style>
  <w:style w:type="paragraph" w:customStyle="1" w:styleId="377">
    <w:name w:val="UserStyle_292"/>
    <w:basedOn w:val="97"/>
    <w:qFormat/>
    <w:uiPriority w:val="0"/>
  </w:style>
  <w:style w:type="paragraph" w:customStyle="1" w:styleId="378">
    <w:name w:val="UserStyle_444"/>
    <w:basedOn w:val="1"/>
    <w:qFormat/>
    <w:uiPriority w:val="0"/>
    <w:pPr>
      <w:widowControl/>
      <w:tabs>
        <w:tab w:val="left" w:pos="1304"/>
      </w:tabs>
      <w:spacing w:before="156" w:after="156" w:line="276" w:lineRule="auto"/>
      <w:ind w:left="1304" w:hanging="397"/>
      <w:textAlignment w:val="baseline"/>
    </w:pPr>
    <w:rPr>
      <w:rFonts w:ascii="Arial" w:hAnsi="Arial"/>
      <w:sz w:val="34"/>
      <w:szCs w:val="20"/>
    </w:rPr>
  </w:style>
  <w:style w:type="paragraph" w:customStyle="1" w:styleId="379">
    <w:name w:val="UserStyle_3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宋体" w:hAnsi="宋体"/>
      <w:kern w:val="0"/>
      <w:sz w:val="20"/>
      <w:szCs w:val="20"/>
    </w:rPr>
  </w:style>
  <w:style w:type="paragraph" w:customStyle="1" w:styleId="380">
    <w:name w:val="TOC6"/>
    <w:basedOn w:val="1"/>
    <w:next w:val="1"/>
    <w:qFormat/>
    <w:uiPriority w:val="0"/>
    <w:pPr>
      <w:widowControl/>
      <w:ind w:left="2100" w:leftChars="1000"/>
      <w:textAlignment w:val="baseline"/>
    </w:pPr>
    <w:rPr>
      <w:rFonts w:ascii="宋体"/>
      <w:kern w:val="0"/>
      <w:sz w:val="34"/>
    </w:rPr>
  </w:style>
  <w:style w:type="paragraph" w:customStyle="1" w:styleId="381">
    <w:name w:val="UserStyle_294"/>
    <w:basedOn w:val="318"/>
    <w:qFormat/>
    <w:uiPriority w:val="0"/>
    <w:pPr>
      <w:shd w:val="clear" w:color="auto" w:fill="000080"/>
    </w:pPr>
    <w:rPr>
      <w:rFonts w:ascii="Tahoma" w:hAnsi="Tahoma"/>
      <w:sz w:val="24"/>
      <w:szCs w:val="24"/>
    </w:rPr>
  </w:style>
  <w:style w:type="paragraph" w:customStyle="1" w:styleId="382">
    <w:name w:val="UserStyle_408"/>
    <w:basedOn w:val="1"/>
    <w:qFormat/>
    <w:uiPriority w:val="0"/>
    <w:pPr>
      <w:widowControl/>
      <w:textAlignment w:val="baseline"/>
    </w:pPr>
    <w:rPr>
      <w:rFonts w:ascii="仿宋_GB2312" w:eastAsia="仿宋_GB2312"/>
      <w:b/>
      <w:kern w:val="0"/>
      <w:sz w:val="32"/>
      <w:szCs w:val="32"/>
    </w:rPr>
  </w:style>
  <w:style w:type="paragraph" w:customStyle="1" w:styleId="383">
    <w:name w:val="UserStyle_426"/>
    <w:basedOn w:val="1"/>
    <w:qFormat/>
    <w:uiPriority w:val="0"/>
    <w:pPr>
      <w:widowControl/>
      <w:tabs>
        <w:tab w:val="left" w:pos="420"/>
        <w:tab w:val="left" w:pos="540"/>
      </w:tabs>
      <w:spacing w:before="140" w:after="140" w:line="500" w:lineRule="exact"/>
      <w:ind w:left="540" w:hanging="360"/>
      <w:textAlignment w:val="baseline"/>
    </w:pPr>
    <w:rPr>
      <w:rFonts w:ascii="楷体_GB2312" w:hAnsi="宋体" w:eastAsia="楷体_GB2312" w:cs="宋体"/>
      <w:b/>
      <w:bCs/>
      <w:kern w:val="0"/>
      <w:sz w:val="28"/>
      <w:szCs w:val="20"/>
    </w:rPr>
  </w:style>
  <w:style w:type="paragraph" w:customStyle="1" w:styleId="384">
    <w:name w:val="UserStyle_380"/>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baseline"/>
    </w:pPr>
    <w:rPr>
      <w:rFonts w:ascii="Arial Unicode MS" w:hAnsi="Arial Unicode MS" w:eastAsia="Arial Unicode MS" w:cs="Arial Unicode MS"/>
      <w:b/>
      <w:bCs/>
      <w:color w:val="000000"/>
      <w:kern w:val="0"/>
      <w:sz w:val="20"/>
      <w:szCs w:val="20"/>
    </w:rPr>
  </w:style>
  <w:style w:type="paragraph" w:customStyle="1" w:styleId="385">
    <w:name w:val="正文缩进1"/>
    <w:basedOn w:val="1"/>
    <w:qFormat/>
    <w:uiPriority w:val="0"/>
    <w:pPr>
      <w:ind w:firstLine="420" w:firstLineChars="200"/>
    </w:pPr>
  </w:style>
  <w:style w:type="paragraph" w:customStyle="1" w:styleId="386">
    <w:name w:val="UserStyle_355"/>
    <w:basedOn w:val="1"/>
    <w:qFormat/>
    <w:uiPriority w:val="0"/>
    <w:pPr>
      <w:widowControl/>
      <w:spacing w:after="160" w:line="240" w:lineRule="exact"/>
      <w:jc w:val="left"/>
      <w:textAlignment w:val="baseline"/>
    </w:pPr>
    <w:rPr>
      <w:rFonts w:ascii="Verdana" w:hAnsi="Verdana" w:eastAsia="仿宋_GB2312"/>
      <w:kern w:val="0"/>
      <w:sz w:val="24"/>
      <w:szCs w:val="20"/>
      <w:lang w:eastAsia="en-US"/>
    </w:rPr>
  </w:style>
  <w:style w:type="paragraph" w:customStyle="1" w:styleId="387">
    <w:name w:val="UserStyle_330"/>
    <w:basedOn w:val="1"/>
    <w:qFormat/>
    <w:uiPriority w:val="0"/>
    <w:pPr>
      <w:widowControl/>
      <w:textAlignment w:val="baseline"/>
    </w:pPr>
  </w:style>
  <w:style w:type="paragraph" w:customStyle="1" w:styleId="388">
    <w:name w:val="UserStyle_231"/>
    <w:basedOn w:val="1"/>
    <w:qFormat/>
    <w:uiPriority w:val="0"/>
    <w:pPr>
      <w:widowControl/>
      <w:spacing w:before="100" w:beforeAutospacing="1" w:after="100" w:afterAutospacing="1"/>
      <w:jc w:val="center"/>
      <w:textAlignment w:val="baseline"/>
    </w:pPr>
    <w:rPr>
      <w:rFonts w:ascii="Arial Unicode MS" w:hAnsi="Arial Unicode MS" w:eastAsia="Arial Unicode MS"/>
      <w:color w:val="000000"/>
      <w:kern w:val="0"/>
      <w:sz w:val="20"/>
      <w:szCs w:val="20"/>
    </w:rPr>
  </w:style>
  <w:style w:type="paragraph" w:customStyle="1" w:styleId="389">
    <w:name w:val="UserStyle_340"/>
    <w:basedOn w:val="390"/>
    <w:next w:val="390"/>
    <w:qFormat/>
    <w:uiPriority w:val="0"/>
  </w:style>
  <w:style w:type="paragraph" w:customStyle="1" w:styleId="390">
    <w:name w:val="UserStyle_341"/>
    <w:basedOn w:val="1"/>
    <w:qFormat/>
    <w:uiPriority w:val="0"/>
    <w:pPr>
      <w:widowControl/>
      <w:snapToGrid w:val="0"/>
      <w:spacing w:before="78" w:line="360" w:lineRule="auto"/>
      <w:ind w:firstLine="480" w:firstLineChars="200"/>
      <w:textAlignment w:val="baseline"/>
    </w:pPr>
    <w:rPr>
      <w:rFonts w:ascii="宋体" w:hAnsi="宋体"/>
      <w:color w:val="000000"/>
      <w:kern w:val="0"/>
      <w:sz w:val="34"/>
      <w:szCs w:val="20"/>
    </w:rPr>
  </w:style>
  <w:style w:type="paragraph" w:customStyle="1" w:styleId="391">
    <w:name w:val="UserStyle_197"/>
    <w:basedOn w:val="1"/>
    <w:qFormat/>
    <w:uiPriority w:val="0"/>
    <w:pPr>
      <w:widowControl/>
      <w:pBdr>
        <w:left w:val="single" w:color="000000" w:sz="4" w:space="0"/>
        <w:bottom w:val="single" w:color="000000" w:sz="8" w:space="0"/>
        <w:right w:val="single" w:color="000000" w:sz="4" w:space="0"/>
      </w:pBdr>
      <w:spacing w:before="100" w:beforeAutospacing="1" w:after="100" w:afterAutospacing="1"/>
      <w:jc w:val="right"/>
      <w:textAlignment w:val="center"/>
    </w:pPr>
    <w:rPr>
      <w:rFonts w:ascii="宋体"/>
      <w:kern w:val="0"/>
      <w:sz w:val="34"/>
      <w:szCs w:val="21"/>
    </w:rPr>
  </w:style>
  <w:style w:type="paragraph" w:customStyle="1" w:styleId="392">
    <w:name w:val="UserStyle_291"/>
    <w:qFormat/>
    <w:uiPriority w:val="0"/>
    <w:pPr>
      <w:spacing w:line="360" w:lineRule="auto"/>
      <w:ind w:firstLine="200" w:firstLineChars="200"/>
      <w:textAlignment w:val="baseline"/>
    </w:pPr>
    <w:rPr>
      <w:rFonts w:ascii="Times New Roman" w:hAnsi="Times New Roman" w:eastAsia="楷体_GB2312" w:cs="Times New Roman"/>
      <w:kern w:val="2"/>
      <w:sz w:val="24"/>
      <w:szCs w:val="24"/>
      <w:lang w:val="en-US" w:eastAsia="zh-CN" w:bidi="ar-SA"/>
    </w:rPr>
  </w:style>
  <w:style w:type="paragraph" w:customStyle="1" w:styleId="393">
    <w:name w:val="UserStyle_250"/>
    <w:basedOn w:val="102"/>
    <w:qFormat/>
    <w:uiPriority w:val="0"/>
    <w:pPr>
      <w:numPr>
        <w:ilvl w:val="7"/>
        <w:numId w:val="4"/>
      </w:numPr>
    </w:pPr>
  </w:style>
  <w:style w:type="paragraph" w:customStyle="1" w:styleId="394">
    <w:name w:val="UserStyle_316"/>
    <w:basedOn w:val="1"/>
    <w:qFormat/>
    <w:uiPriority w:val="0"/>
    <w:pPr>
      <w:widowControl/>
      <w:spacing w:line="360" w:lineRule="auto"/>
      <w:ind w:firstLine="420" w:firstLineChars="200"/>
      <w:textAlignment w:val="baseline"/>
    </w:pPr>
    <w:rPr>
      <w:rFonts w:ascii="宋体" w:hAnsi="宋体"/>
      <w:szCs w:val="20"/>
    </w:rPr>
  </w:style>
  <w:style w:type="paragraph" w:customStyle="1" w:styleId="395">
    <w:name w:val="UserStyle_35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宋体" w:hAnsi="宋体"/>
      <w:kern w:val="0"/>
      <w:sz w:val="20"/>
      <w:szCs w:val="20"/>
    </w:rPr>
  </w:style>
  <w:style w:type="paragraph" w:customStyle="1" w:styleId="396">
    <w:name w:val="UserStyle_329"/>
    <w:basedOn w:val="1"/>
    <w:qFormat/>
    <w:uiPriority w:val="0"/>
    <w:pPr>
      <w:widowControl/>
      <w:textAlignment w:val="baseline"/>
    </w:pPr>
    <w:rPr>
      <w:rFonts w:ascii="宋体"/>
      <w:szCs w:val="20"/>
    </w:rPr>
  </w:style>
  <w:style w:type="paragraph" w:customStyle="1" w:styleId="397">
    <w:name w:val="UserStyle_3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ascii="宋体" w:hAnsi="宋体"/>
      <w:kern w:val="0"/>
      <w:sz w:val="34"/>
      <w:szCs w:val="20"/>
    </w:rPr>
  </w:style>
  <w:style w:type="paragraph" w:customStyle="1" w:styleId="398">
    <w:name w:val="UserStyle_361"/>
    <w:basedOn w:val="1"/>
    <w:qFormat/>
    <w:uiPriority w:val="0"/>
    <w:pPr>
      <w:widowControl/>
      <w:pBdr>
        <w:top w:val="single" w:color="000000" w:sz="4" w:space="0"/>
        <w:left w:val="single" w:color="000000" w:sz="4" w:space="0"/>
        <w:bottom w:val="single" w:color="000000" w:sz="8" w:space="0"/>
        <w:right w:val="single" w:color="000000" w:sz="8" w:space="0"/>
      </w:pBdr>
      <w:spacing w:before="100" w:beforeAutospacing="1" w:after="100" w:afterAutospacing="1"/>
      <w:jc w:val="center"/>
      <w:textAlignment w:val="center"/>
    </w:pPr>
    <w:rPr>
      <w:rFonts w:ascii="宋体"/>
      <w:kern w:val="0"/>
      <w:sz w:val="34"/>
      <w:szCs w:val="21"/>
    </w:rPr>
  </w:style>
  <w:style w:type="paragraph" w:customStyle="1" w:styleId="399">
    <w:name w:val="样式 标题 3 + (中文) 黑体 小四 非加粗 段前: 7.8 磅 段后: 0 磅 行距: 固定值 20 磅"/>
    <w:basedOn w:val="6"/>
    <w:qFormat/>
    <w:uiPriority w:val="0"/>
    <w:pPr>
      <w:spacing w:before="0" w:after="0" w:line="400" w:lineRule="exact"/>
    </w:pPr>
    <w:rPr>
      <w:rFonts w:eastAsia="黑体" w:cs="宋体"/>
      <w:b w:val="0"/>
      <w:bCs w:val="0"/>
      <w:szCs w:val="20"/>
    </w:rPr>
  </w:style>
  <w:style w:type="paragraph" w:customStyle="1" w:styleId="400">
    <w:name w:val="UserStyle_418"/>
    <w:basedOn w:val="1"/>
    <w:qFormat/>
    <w:uiPriority w:val="0"/>
    <w:pPr>
      <w:keepNext/>
      <w:keepLines/>
      <w:widowControl/>
      <w:spacing w:line="312" w:lineRule="atLeast"/>
      <w:jc w:val="center"/>
      <w:textAlignment w:val="baseline"/>
    </w:pPr>
    <w:rPr>
      <w:rFonts w:ascii="宋体"/>
      <w:b/>
      <w:kern w:val="0"/>
      <w:sz w:val="34"/>
      <w:szCs w:val="20"/>
    </w:rPr>
  </w:style>
  <w:style w:type="paragraph" w:customStyle="1" w:styleId="401">
    <w:name w:val="UserStyle_307"/>
    <w:basedOn w:val="1"/>
    <w:qFormat/>
    <w:uiPriority w:val="0"/>
    <w:pPr>
      <w:widowControl/>
      <w:textAlignment w:val="baseline"/>
    </w:pPr>
    <w:rPr>
      <w:szCs w:val="20"/>
    </w:rPr>
  </w:style>
  <w:style w:type="paragraph" w:customStyle="1" w:styleId="402">
    <w:name w:val="UserStyle_2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textAlignment w:val="top"/>
    </w:pPr>
    <w:rPr>
      <w:rFonts w:ascii="宋体" w:eastAsia="Arial Unicode MS"/>
      <w:color w:val="000000"/>
      <w:kern w:val="0"/>
      <w:sz w:val="20"/>
      <w:szCs w:val="20"/>
    </w:rPr>
  </w:style>
  <w:style w:type="paragraph" w:customStyle="1" w:styleId="403">
    <w:name w:val="UserStyle_28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宋体" w:hAnsi="宋体"/>
      <w:kern w:val="0"/>
      <w:sz w:val="34"/>
      <w:szCs w:val="20"/>
    </w:rPr>
  </w:style>
  <w:style w:type="paragraph" w:customStyle="1" w:styleId="404">
    <w:name w:val="UserStyle_299"/>
    <w:basedOn w:val="1"/>
    <w:qFormat/>
    <w:uiPriority w:val="0"/>
    <w:pPr>
      <w:widowControl/>
      <w:spacing w:after="160" w:line="240" w:lineRule="exact"/>
      <w:jc w:val="left"/>
      <w:textAlignment w:val="baseline"/>
    </w:pPr>
    <w:rPr>
      <w:kern w:val="0"/>
      <w:sz w:val="20"/>
      <w:szCs w:val="20"/>
    </w:rPr>
  </w:style>
  <w:style w:type="paragraph" w:customStyle="1" w:styleId="405">
    <w:name w:val="UserStyle_304"/>
    <w:basedOn w:val="1"/>
    <w:qFormat/>
    <w:uiPriority w:val="0"/>
    <w:pPr>
      <w:widowControl/>
      <w:numPr>
        <w:ilvl w:val="3"/>
        <w:numId w:val="3"/>
      </w:numPr>
      <w:tabs>
        <w:tab w:val="left" w:pos="1469"/>
      </w:tabs>
      <w:spacing w:before="60"/>
      <w:ind w:left="0" w:firstLine="0"/>
    </w:pPr>
    <w:rPr>
      <w:rFonts w:ascii="宋体"/>
      <w:szCs w:val="20"/>
    </w:rPr>
  </w:style>
  <w:style w:type="paragraph" w:customStyle="1" w:styleId="406">
    <w:name w:val="TOC3"/>
    <w:basedOn w:val="1"/>
    <w:next w:val="1"/>
    <w:qFormat/>
    <w:uiPriority w:val="0"/>
    <w:pPr>
      <w:widowControl/>
      <w:tabs>
        <w:tab w:val="right" w:leader="dot" w:pos="8302"/>
      </w:tabs>
      <w:ind w:left="420"/>
      <w:jc w:val="left"/>
      <w:textAlignment w:val="baseline"/>
    </w:pPr>
    <w:rPr>
      <w:rFonts w:ascii="宋体"/>
      <w:kern w:val="0"/>
      <w:sz w:val="20"/>
      <w:szCs w:val="20"/>
    </w:rPr>
  </w:style>
  <w:style w:type="paragraph" w:customStyle="1" w:styleId="407">
    <w:name w:val="List2"/>
    <w:basedOn w:val="1"/>
    <w:qFormat/>
    <w:uiPriority w:val="0"/>
    <w:pPr>
      <w:widowControl/>
      <w:ind w:left="100" w:leftChars="200" w:hanging="200" w:hangingChars="200"/>
      <w:textAlignment w:val="baseline"/>
    </w:pPr>
    <w:rPr>
      <w:rFonts w:ascii="宋体"/>
      <w:kern w:val="0"/>
      <w:sz w:val="34"/>
    </w:rPr>
  </w:style>
  <w:style w:type="paragraph" w:customStyle="1" w:styleId="408">
    <w:name w:val="UserStyle_339"/>
    <w:basedOn w:val="1"/>
    <w:qFormat/>
    <w:uiPriority w:val="0"/>
    <w:pPr>
      <w:widowControl/>
      <w:spacing w:before="100" w:beforeAutospacing="1" w:after="100" w:afterAutospacing="1"/>
      <w:jc w:val="center"/>
      <w:textAlignment w:val="baseline"/>
    </w:pPr>
    <w:rPr>
      <w:rFonts w:ascii="宋体" w:hAnsi="宋体"/>
      <w:kern w:val="0"/>
      <w:sz w:val="34"/>
      <w:szCs w:val="20"/>
    </w:rPr>
  </w:style>
  <w:style w:type="paragraph" w:customStyle="1" w:styleId="409">
    <w:name w:val="UserStyle_266"/>
    <w:basedOn w:val="1"/>
    <w:qFormat/>
    <w:uiPriority w:val="0"/>
    <w:pPr>
      <w:widowControl/>
      <w:spacing w:before="100" w:beforeAutospacing="1" w:after="100" w:afterAutospacing="1"/>
      <w:jc w:val="left"/>
      <w:textAlignment w:val="baseline"/>
    </w:pPr>
    <w:rPr>
      <w:rFonts w:ascii="Arial Unicode MS" w:hAnsi="Arial Unicode MS" w:eastAsia="Arial Unicode MS"/>
      <w:color w:val="000000"/>
      <w:kern w:val="0"/>
      <w:sz w:val="20"/>
      <w:szCs w:val="20"/>
    </w:rPr>
  </w:style>
  <w:style w:type="paragraph" w:customStyle="1" w:styleId="410">
    <w:name w:val="UserStyle_193"/>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baseline"/>
    </w:pPr>
    <w:rPr>
      <w:rFonts w:ascii="Arial Unicode MS" w:hAnsi="Arial Unicode MS" w:eastAsia="Arial Unicode MS" w:cs="Arial Unicode MS"/>
      <w:b/>
      <w:bCs/>
      <w:color w:val="000000"/>
      <w:kern w:val="0"/>
      <w:sz w:val="20"/>
      <w:szCs w:val="20"/>
    </w:rPr>
  </w:style>
  <w:style w:type="paragraph" w:customStyle="1" w:styleId="411">
    <w:name w:val="UserStyle_435"/>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baseline"/>
    </w:pPr>
    <w:rPr>
      <w:rFonts w:ascii="宋体" w:hAnsi="宋体" w:cs="宋体"/>
      <w:b/>
      <w:bCs/>
      <w:kern w:val="0"/>
      <w:sz w:val="28"/>
      <w:szCs w:val="28"/>
    </w:rPr>
  </w:style>
  <w:style w:type="paragraph" w:customStyle="1" w:styleId="412">
    <w:name w:val="UserStyle_320"/>
    <w:basedOn w:val="1"/>
    <w:qFormat/>
    <w:uiPriority w:val="0"/>
    <w:pPr>
      <w:widowControl/>
      <w:spacing w:after="156"/>
      <w:ind w:firstLine="480"/>
      <w:textAlignment w:val="baseline"/>
    </w:pPr>
    <w:rPr>
      <w:rFonts w:ascii="宋体"/>
      <w:sz w:val="34"/>
      <w:szCs w:val="20"/>
    </w:rPr>
  </w:style>
  <w:style w:type="paragraph" w:customStyle="1" w:styleId="413">
    <w:name w:val="BlockQuote"/>
    <w:basedOn w:val="1"/>
    <w:qFormat/>
    <w:uiPriority w:val="0"/>
    <w:pPr>
      <w:widowControl/>
      <w:spacing w:line="400" w:lineRule="exact"/>
      <w:ind w:left="-359" w:leftChars="-171" w:right="-687" w:rightChars="-327" w:firstLine="720"/>
      <w:textAlignment w:val="baseline"/>
    </w:pPr>
    <w:rPr>
      <w:rFonts w:ascii="宋体" w:hAnsi="宋体"/>
      <w:kern w:val="0"/>
      <w:sz w:val="28"/>
    </w:rPr>
  </w:style>
  <w:style w:type="paragraph" w:customStyle="1" w:styleId="414">
    <w:name w:val="UserStyle_3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415">
    <w:name w:val="日期1"/>
    <w:basedOn w:val="1"/>
    <w:next w:val="1"/>
    <w:qFormat/>
    <w:uiPriority w:val="0"/>
    <w:pPr>
      <w:ind w:left="100" w:leftChars="2500"/>
    </w:pPr>
  </w:style>
  <w:style w:type="paragraph" w:customStyle="1" w:styleId="416">
    <w:name w:val="UserStyle_269"/>
    <w:basedOn w:val="1"/>
    <w:qFormat/>
    <w:uiPriority w:val="0"/>
    <w:pPr>
      <w:widowControl/>
      <w:pBdr>
        <w:top w:val="single" w:color="000000" w:sz="4" w:space="0"/>
        <w:bottom w:val="single" w:color="000000" w:sz="4" w:space="0"/>
      </w:pBdr>
      <w:spacing w:before="100" w:beforeAutospacing="1" w:after="100" w:afterAutospacing="1"/>
      <w:jc w:val="center"/>
      <w:textAlignment w:val="baseline"/>
    </w:pPr>
    <w:rPr>
      <w:rFonts w:ascii="宋体" w:hAnsi="宋体" w:cs="宋体"/>
      <w:b/>
      <w:bCs/>
      <w:kern w:val="0"/>
      <w:sz w:val="32"/>
      <w:szCs w:val="32"/>
    </w:rPr>
  </w:style>
  <w:style w:type="paragraph" w:customStyle="1" w:styleId="417">
    <w:name w:val="UserStyle_286"/>
    <w:basedOn w:val="290"/>
    <w:qFormat/>
    <w:uiPriority w:val="0"/>
  </w:style>
  <w:style w:type="paragraph" w:customStyle="1" w:styleId="418">
    <w:name w:val="UserStyle_253"/>
    <w:basedOn w:val="1"/>
    <w:qFormat/>
    <w:uiPriority w:val="0"/>
    <w:pPr>
      <w:widowControl/>
      <w:spacing w:line="312" w:lineRule="atLeast"/>
      <w:ind w:firstLine="567"/>
      <w:textAlignment w:val="baseline"/>
    </w:pPr>
    <w:rPr>
      <w:kern w:val="0"/>
      <w:sz w:val="28"/>
      <w:szCs w:val="20"/>
    </w:rPr>
  </w:style>
  <w:style w:type="paragraph" w:customStyle="1" w:styleId="419">
    <w:name w:val="UserStyle_180"/>
    <w:basedOn w:val="1"/>
    <w:next w:val="1"/>
    <w:qFormat/>
    <w:uiPriority w:val="0"/>
    <w:pPr>
      <w:widowControl/>
      <w:spacing w:line="240" w:lineRule="atLeast"/>
      <w:ind w:left="420" w:firstLine="420"/>
      <w:jc w:val="left"/>
      <w:textAlignment w:val="baseline"/>
    </w:pPr>
    <w:rPr>
      <w:rFonts w:ascii="宋体"/>
      <w:kern w:val="0"/>
      <w:szCs w:val="20"/>
    </w:rPr>
  </w:style>
  <w:style w:type="paragraph" w:customStyle="1" w:styleId="420">
    <w:name w:val="UserStyle_208"/>
    <w:basedOn w:val="1"/>
    <w:qFormat/>
    <w:uiPriority w:val="0"/>
    <w:pPr>
      <w:widowControl/>
      <w:textAlignment w:val="baseline"/>
    </w:pPr>
    <w:rPr>
      <w:rFonts w:ascii="Tahoma" w:hAnsi="Tahoma"/>
      <w:kern w:val="0"/>
      <w:sz w:val="24"/>
      <w:szCs w:val="20"/>
    </w:rPr>
  </w:style>
  <w:style w:type="paragraph" w:customStyle="1" w:styleId="421">
    <w:name w:val="UserStyle_327"/>
    <w:basedOn w:val="1"/>
    <w:qFormat/>
    <w:uiPriority w:val="0"/>
    <w:pPr>
      <w:widowControl/>
      <w:ind w:firstLine="420" w:firstLineChars="200"/>
      <w:textAlignment w:val="baseline"/>
    </w:pPr>
    <w:rPr>
      <w:rFonts w:ascii="宋体"/>
      <w:kern w:val="0"/>
      <w:sz w:val="34"/>
    </w:rPr>
  </w:style>
  <w:style w:type="paragraph" w:customStyle="1" w:styleId="422">
    <w:name w:val="UserStyle_238"/>
    <w:basedOn w:val="318"/>
    <w:qFormat/>
    <w:uiPriority w:val="0"/>
    <w:pPr>
      <w:shd w:val="clear" w:color="auto" w:fill="000080"/>
    </w:pPr>
    <w:rPr>
      <w:rFonts w:ascii="Tahoma" w:hAnsi="Tahoma"/>
      <w:sz w:val="24"/>
      <w:szCs w:val="24"/>
    </w:rPr>
  </w:style>
  <w:style w:type="paragraph" w:customStyle="1" w:styleId="423">
    <w:name w:val="UserStyle_244"/>
    <w:basedOn w:val="1"/>
    <w:qFormat/>
    <w:uiPriority w:val="0"/>
    <w:pPr>
      <w:widowControl/>
      <w:numPr>
        <w:ilvl w:val="2"/>
        <w:numId w:val="3"/>
      </w:numPr>
      <w:tabs>
        <w:tab w:val="left" w:pos="1259"/>
      </w:tabs>
      <w:spacing w:before="60"/>
      <w:ind w:left="0" w:firstLine="0"/>
    </w:pPr>
    <w:rPr>
      <w:rFonts w:ascii="宋体"/>
      <w:szCs w:val="20"/>
    </w:rPr>
  </w:style>
  <w:style w:type="paragraph" w:customStyle="1" w:styleId="424">
    <w:name w:val="UserStyle_25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宋体" w:hAnsi="宋体" w:cs="宋体"/>
      <w:b/>
      <w:bCs/>
      <w:kern w:val="0"/>
      <w:sz w:val="28"/>
      <w:szCs w:val="28"/>
    </w:rPr>
  </w:style>
  <w:style w:type="paragraph" w:customStyle="1" w:styleId="425">
    <w:name w:val="UserStyle_440"/>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baseline"/>
    </w:pPr>
    <w:rPr>
      <w:rFonts w:ascii="Arial Unicode MS" w:hAnsi="Arial Unicode MS" w:eastAsia="Arial Unicode MS"/>
      <w:kern w:val="0"/>
      <w:sz w:val="24"/>
    </w:rPr>
  </w:style>
  <w:style w:type="paragraph" w:customStyle="1" w:styleId="426">
    <w:name w:val="UserStyle_389"/>
    <w:basedOn w:val="318"/>
    <w:qFormat/>
    <w:uiPriority w:val="0"/>
    <w:pPr>
      <w:shd w:val="clear" w:color="auto" w:fill="000080"/>
    </w:pPr>
    <w:rPr>
      <w:rFonts w:ascii="Tahoma" w:hAnsi="Tahoma"/>
      <w:kern w:val="0"/>
      <w:sz w:val="24"/>
      <w:szCs w:val="24"/>
    </w:rPr>
  </w:style>
  <w:style w:type="paragraph" w:customStyle="1" w:styleId="427">
    <w:name w:val="UserStyle_427"/>
    <w:basedOn w:val="1"/>
    <w:next w:val="1"/>
    <w:qFormat/>
    <w:uiPriority w:val="0"/>
    <w:pPr>
      <w:widowControl/>
      <w:tabs>
        <w:tab w:val="left" w:pos="0"/>
      </w:tabs>
      <w:spacing w:line="360" w:lineRule="auto"/>
      <w:ind w:hanging="500" w:hangingChars="500"/>
      <w:jc w:val="center"/>
      <w:textAlignment w:val="baseline"/>
    </w:pPr>
    <w:rPr>
      <w:rFonts w:eastAsia="黑体"/>
      <w:sz w:val="44"/>
    </w:rPr>
  </w:style>
  <w:style w:type="paragraph" w:customStyle="1" w:styleId="428">
    <w:name w:val="UserStyle_268"/>
    <w:basedOn w:val="1"/>
    <w:qFormat/>
    <w:uiPriority w:val="0"/>
    <w:pPr>
      <w:widowControl/>
      <w:spacing w:before="78" w:after="78"/>
      <w:textAlignment w:val="baseline"/>
    </w:pPr>
    <w:rPr>
      <w:rFonts w:ascii="Times New (W1)" w:hAnsi="Times New (W1)"/>
      <w:spacing w:val="10"/>
      <w:szCs w:val="20"/>
    </w:rPr>
  </w:style>
  <w:style w:type="paragraph" w:customStyle="1" w:styleId="429">
    <w:name w:val="UserStyle_370"/>
    <w:basedOn w:val="1"/>
    <w:qFormat/>
    <w:uiPriority w:val="0"/>
    <w:pPr>
      <w:widowControl/>
      <w:spacing w:before="156" w:after="156" w:line="276" w:lineRule="auto"/>
      <w:ind w:firstLine="480" w:firstLineChars="200"/>
      <w:textAlignment w:val="baseline"/>
    </w:pPr>
    <w:rPr>
      <w:rFonts w:ascii="Arial" w:hAnsi="Arial"/>
      <w:sz w:val="34"/>
      <w:szCs w:val="20"/>
    </w:rPr>
  </w:style>
  <w:style w:type="paragraph" w:customStyle="1" w:styleId="430">
    <w:name w:val="UserStyle_395"/>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baseline"/>
    </w:pPr>
    <w:rPr>
      <w:rFonts w:ascii="宋体" w:hAnsi="宋体" w:cs="宋体"/>
      <w:b/>
      <w:bCs/>
      <w:kern w:val="0"/>
      <w:sz w:val="32"/>
      <w:szCs w:val="32"/>
    </w:rPr>
  </w:style>
  <w:style w:type="paragraph" w:customStyle="1" w:styleId="431">
    <w:name w:val="UserStyle_176"/>
    <w:basedOn w:val="1"/>
    <w:qFormat/>
    <w:uiPriority w:val="0"/>
    <w:pPr>
      <w:widowControl/>
      <w:textAlignment w:val="baseline"/>
    </w:pPr>
  </w:style>
  <w:style w:type="paragraph" w:customStyle="1" w:styleId="432">
    <w:name w:val="UserStyle_417"/>
    <w:basedOn w:val="1"/>
    <w:qFormat/>
    <w:uiPriority w:val="0"/>
    <w:pPr>
      <w:widowControl/>
      <w:textAlignment w:val="baseline"/>
    </w:pPr>
    <w:rPr>
      <w:rFonts w:ascii="宋体"/>
      <w:szCs w:val="20"/>
    </w:rPr>
  </w:style>
  <w:style w:type="paragraph" w:customStyle="1" w:styleId="433">
    <w:name w:val="UserStyle_425"/>
    <w:basedOn w:val="1"/>
    <w:qFormat/>
    <w:uiPriority w:val="0"/>
    <w:pPr>
      <w:widowControl/>
      <w:tabs>
        <w:tab w:val="left" w:pos="860"/>
      </w:tabs>
      <w:spacing w:line="440" w:lineRule="exact"/>
      <w:ind w:left="860" w:hanging="420"/>
      <w:textAlignment w:val="baseline"/>
    </w:pPr>
    <w:rPr>
      <w:rFonts w:ascii="仿宋_GB2312" w:hAnsi="宋体" w:eastAsia="仿宋_GB2312"/>
      <w:spacing w:val="5"/>
      <w:szCs w:val="20"/>
    </w:rPr>
  </w:style>
  <w:style w:type="paragraph" w:customStyle="1" w:styleId="434">
    <w:name w:val="UserStyle_196"/>
    <w:basedOn w:val="1"/>
    <w:qFormat/>
    <w:uiPriority w:val="0"/>
    <w:pPr>
      <w:widowControl/>
      <w:spacing w:before="100" w:beforeAutospacing="1" w:after="100" w:afterAutospacing="1"/>
      <w:jc w:val="left"/>
      <w:textAlignment w:val="baseline"/>
    </w:pPr>
    <w:rPr>
      <w:rFonts w:ascii="宋体"/>
      <w:kern w:val="0"/>
      <w:sz w:val="36"/>
      <w:szCs w:val="36"/>
    </w:rPr>
  </w:style>
  <w:style w:type="paragraph" w:customStyle="1" w:styleId="435">
    <w:name w:val="UserStyle_217"/>
    <w:basedOn w:val="1"/>
    <w:qFormat/>
    <w:uiPriority w:val="0"/>
    <w:pPr>
      <w:widowControl/>
      <w:spacing w:line="410" w:lineRule="atLeast"/>
      <w:textAlignment w:val="baseline"/>
    </w:pPr>
    <w:rPr>
      <w:rFonts w:ascii="宋体"/>
      <w:kern w:val="0"/>
      <w:sz w:val="24"/>
      <w:szCs w:val="20"/>
    </w:rPr>
  </w:style>
  <w:style w:type="paragraph" w:customStyle="1" w:styleId="436">
    <w:name w:val="UserStyle_288"/>
    <w:basedOn w:val="1"/>
    <w:qFormat/>
    <w:uiPriority w:val="0"/>
    <w:pPr>
      <w:widowControl/>
      <w:tabs>
        <w:tab w:val="left" w:pos="360"/>
      </w:tabs>
      <w:ind w:firstLine="420" w:firstLineChars="150"/>
      <w:textAlignment w:val="baseline"/>
    </w:pPr>
    <w:rPr>
      <w:rFonts w:ascii="Arial" w:hAnsi="Arial"/>
      <w:kern w:val="0"/>
      <w:sz w:val="20"/>
      <w:szCs w:val="20"/>
    </w:rPr>
  </w:style>
  <w:style w:type="paragraph" w:customStyle="1" w:styleId="43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38">
    <w:name w:val="UserStyle_18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ascii="Arial Unicode MS" w:hAnsi="Arial Unicode MS" w:eastAsia="Arial Unicode MS" w:cs="Arial Unicode MS"/>
      <w:b/>
      <w:bCs/>
      <w:color w:val="000000"/>
      <w:kern w:val="0"/>
      <w:sz w:val="32"/>
      <w:szCs w:val="32"/>
    </w:rPr>
  </w:style>
  <w:style w:type="paragraph" w:customStyle="1" w:styleId="439">
    <w:name w:val="09正文_wh"/>
    <w:qFormat/>
    <w:uiPriority w:val="0"/>
    <w:pPr>
      <w:spacing w:line="300" w:lineRule="auto"/>
      <w:ind w:firstLine="200" w:firstLineChars="200"/>
      <w:jc w:val="both"/>
    </w:pPr>
    <w:rPr>
      <w:rFonts w:ascii="等线" w:hAnsi="等线" w:eastAsia="等线" w:cs="Times New Roman"/>
      <w:kern w:val="2"/>
      <w:sz w:val="28"/>
      <w:szCs w:val="24"/>
      <w:lang w:val="en-US" w:eastAsia="zh-CN" w:bidi="ar-SA"/>
    </w:rPr>
  </w:style>
  <w:style w:type="paragraph" w:customStyle="1" w:styleId="440">
    <w:name w:val="UserStyle_259"/>
    <w:basedOn w:val="1"/>
    <w:qFormat/>
    <w:uiPriority w:val="0"/>
    <w:pPr>
      <w:widowControl/>
      <w:spacing w:line="360" w:lineRule="auto"/>
      <w:ind w:firstLine="524" w:firstLineChars="200"/>
      <w:textAlignment w:val="baseline"/>
    </w:pPr>
    <w:rPr>
      <w:rFonts w:ascii="宋体" w:hAnsi="宋体"/>
      <w:spacing w:val="11"/>
      <w:szCs w:val="20"/>
    </w:rPr>
  </w:style>
  <w:style w:type="paragraph" w:customStyle="1" w:styleId="441">
    <w:name w:val="UserStyle_202"/>
    <w:basedOn w:val="156"/>
    <w:qFormat/>
    <w:uiPriority w:val="0"/>
  </w:style>
  <w:style w:type="paragraph" w:customStyle="1" w:styleId="442">
    <w:name w:val="UserStyle_190"/>
    <w:basedOn w:val="1"/>
    <w:qFormat/>
    <w:uiPriority w:val="0"/>
    <w:pPr>
      <w:widowControl/>
      <w:spacing w:before="100" w:beforeAutospacing="1" w:after="100" w:afterAutospacing="1"/>
      <w:jc w:val="left"/>
      <w:textAlignment w:val="baseline"/>
    </w:pPr>
    <w:rPr>
      <w:rFonts w:ascii="楷体_GB2312" w:hAnsi="宋体" w:eastAsia="楷体_GB2312"/>
      <w:sz w:val="27"/>
      <w:szCs w:val="27"/>
    </w:rPr>
  </w:style>
  <w:style w:type="paragraph" w:customStyle="1" w:styleId="443">
    <w:name w:val="UserStyle_228"/>
    <w:basedOn w:val="1"/>
    <w:qFormat/>
    <w:uiPriority w:val="0"/>
    <w:pPr>
      <w:widowControl/>
      <w:spacing w:before="100" w:beforeAutospacing="1" w:after="100" w:afterAutospacing="1"/>
      <w:jc w:val="left"/>
      <w:textAlignment w:val="baseline"/>
    </w:pPr>
    <w:rPr>
      <w:rFonts w:ascii="宋体" w:hAnsi="宋体" w:cs="宋体"/>
      <w:b/>
      <w:bCs/>
      <w:color w:val="000000"/>
      <w:kern w:val="0"/>
      <w:sz w:val="20"/>
      <w:szCs w:val="20"/>
    </w:rPr>
  </w:style>
  <w:style w:type="paragraph" w:customStyle="1" w:styleId="444">
    <w:name w:val="样式  + 首行缩进:  2 字符"/>
    <w:basedOn w:val="1"/>
    <w:qFormat/>
    <w:uiPriority w:val="0"/>
    <w:pPr>
      <w:adjustRightInd w:val="0"/>
      <w:spacing w:line="360" w:lineRule="auto"/>
      <w:ind w:firstLine="524" w:firstLineChars="200"/>
    </w:pPr>
    <w:rPr>
      <w:rFonts w:ascii="宋体" w:hAnsi="宋体"/>
      <w:spacing w:val="11"/>
    </w:rPr>
  </w:style>
  <w:style w:type="paragraph" w:customStyle="1" w:styleId="445">
    <w:name w:val="UserStyle_333"/>
    <w:basedOn w:val="1"/>
    <w:qFormat/>
    <w:uiPriority w:val="0"/>
    <w:pPr>
      <w:widowControl/>
      <w:ind w:left="360" w:hanging="360"/>
      <w:jc w:val="left"/>
      <w:textAlignment w:val="baseline"/>
    </w:pPr>
    <w:rPr>
      <w:rFonts w:ascii="宋体" w:hAnsi="宋体" w:cs="宋体"/>
      <w:b/>
      <w:bCs/>
      <w:color w:val="000000"/>
      <w:kern w:val="0"/>
      <w:sz w:val="18"/>
      <w:szCs w:val="18"/>
    </w:rPr>
  </w:style>
  <w:style w:type="paragraph" w:customStyle="1" w:styleId="446">
    <w:name w:val="UserStyle_261"/>
    <w:basedOn w:val="1"/>
    <w:qFormat/>
    <w:uiPriority w:val="0"/>
    <w:pPr>
      <w:widowControl/>
      <w:ind w:firstLine="420" w:firstLineChars="200"/>
      <w:textAlignment w:val="baseline"/>
    </w:pPr>
    <w:rPr>
      <w:rFonts w:ascii="Calibri" w:hAnsi="Calibri"/>
      <w:szCs w:val="22"/>
    </w:rPr>
  </w:style>
  <w:style w:type="paragraph" w:customStyle="1" w:styleId="447">
    <w:name w:val="UserStyle_271"/>
    <w:basedOn w:val="1"/>
    <w:qFormat/>
    <w:uiPriority w:val="0"/>
    <w:pPr>
      <w:widowControl/>
      <w:pBdr>
        <w:top w:val="single" w:color="000000" w:sz="8" w:space="0"/>
        <w:left w:val="single" w:color="000000" w:sz="4" w:space="0"/>
        <w:bottom w:val="single" w:color="000000" w:sz="4" w:space="0"/>
        <w:right w:val="single" w:color="000000" w:sz="8" w:space="0"/>
      </w:pBdr>
      <w:spacing w:before="100" w:beforeAutospacing="1" w:after="100" w:afterAutospacing="1"/>
      <w:textAlignment w:val="center"/>
    </w:pPr>
    <w:rPr>
      <w:rFonts w:ascii="宋体" w:hAnsi="宋体"/>
      <w:kern w:val="0"/>
      <w:sz w:val="18"/>
      <w:szCs w:val="18"/>
    </w:rPr>
  </w:style>
  <w:style w:type="paragraph" w:customStyle="1" w:styleId="448">
    <w:name w:val="UserStyle_390"/>
    <w:qFormat/>
    <w:uiPriority w:val="0"/>
    <w:pPr>
      <w:spacing w:line="300" w:lineRule="auto"/>
      <w:ind w:firstLine="200" w:firstLineChars="200"/>
      <w:jc w:val="both"/>
      <w:textAlignment w:val="baseline"/>
    </w:pPr>
    <w:rPr>
      <w:rFonts w:ascii="Times New Roman" w:hAnsi="Times New Roman" w:eastAsia="宋体" w:cs="Times New Roman"/>
      <w:kern w:val="2"/>
      <w:sz w:val="28"/>
      <w:szCs w:val="24"/>
      <w:lang w:val="en-US" w:eastAsia="zh-CN" w:bidi="ar-SA"/>
    </w:rPr>
  </w:style>
  <w:style w:type="paragraph" w:customStyle="1" w:styleId="449">
    <w:name w:val="UserStyle_211"/>
    <w:basedOn w:val="1"/>
    <w:qFormat/>
    <w:uiPriority w:val="0"/>
    <w:pPr>
      <w:widowControl/>
      <w:spacing w:before="100" w:beforeAutospacing="1" w:after="100" w:afterAutospacing="1"/>
      <w:jc w:val="center"/>
      <w:textAlignment w:val="baseline"/>
    </w:pPr>
    <w:rPr>
      <w:rFonts w:ascii="宋体" w:hAnsi="宋体"/>
      <w:kern w:val="0"/>
      <w:sz w:val="34"/>
      <w:szCs w:val="20"/>
    </w:rPr>
  </w:style>
  <w:style w:type="paragraph" w:customStyle="1" w:styleId="450">
    <w:name w:val="UserStyle_363"/>
    <w:basedOn w:val="1"/>
    <w:qFormat/>
    <w:uiPriority w:val="0"/>
    <w:pPr>
      <w:widowControl/>
      <w:pBdr>
        <w:top w:val="single" w:color="000000" w:sz="8"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kern w:val="0"/>
      <w:sz w:val="34"/>
      <w:szCs w:val="21"/>
    </w:rPr>
  </w:style>
  <w:style w:type="paragraph" w:customStyle="1" w:styleId="451">
    <w:name w:val="UserStyle_309"/>
    <w:basedOn w:val="1"/>
    <w:qFormat/>
    <w:uiPriority w:val="0"/>
    <w:pPr>
      <w:widowControl/>
      <w:pBdr>
        <w:bottom w:val="single" w:color="000000" w:sz="4" w:space="0"/>
        <w:right w:val="single" w:color="000000" w:sz="8" w:space="0"/>
      </w:pBdr>
      <w:spacing w:before="100" w:beforeAutospacing="1" w:after="100" w:afterAutospacing="1"/>
      <w:jc w:val="left"/>
      <w:textAlignment w:val="center"/>
    </w:pPr>
    <w:rPr>
      <w:rFonts w:ascii="宋体"/>
      <w:color w:val="FFFFFF"/>
      <w:kern w:val="0"/>
      <w:sz w:val="34"/>
      <w:szCs w:val="21"/>
    </w:rPr>
  </w:style>
  <w:style w:type="paragraph" w:customStyle="1" w:styleId="452">
    <w:name w:val="UserStyle_4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宋体" w:eastAsia="Arial Unicode MS"/>
      <w:color w:val="000000"/>
      <w:kern w:val="0"/>
      <w:sz w:val="20"/>
      <w:szCs w:val="20"/>
    </w:rPr>
  </w:style>
  <w:style w:type="paragraph" w:customStyle="1" w:styleId="453">
    <w:name w:val="TOC9"/>
    <w:basedOn w:val="1"/>
    <w:next w:val="1"/>
    <w:qFormat/>
    <w:uiPriority w:val="0"/>
    <w:pPr>
      <w:widowControl/>
      <w:ind w:left="3360" w:leftChars="1600"/>
      <w:textAlignment w:val="baseline"/>
    </w:pPr>
    <w:rPr>
      <w:rFonts w:ascii="宋体"/>
      <w:kern w:val="0"/>
      <w:sz w:val="34"/>
    </w:rPr>
  </w:style>
  <w:style w:type="paragraph" w:customStyle="1" w:styleId="454">
    <w:name w:val="UserStyle_421"/>
    <w:basedOn w:val="290"/>
    <w:qFormat/>
    <w:uiPriority w:val="0"/>
  </w:style>
  <w:style w:type="paragraph" w:customStyle="1" w:styleId="455">
    <w:name w:val="UserStyle_246"/>
    <w:basedOn w:val="1"/>
    <w:qFormat/>
    <w:uiPriority w:val="0"/>
    <w:pPr>
      <w:widowControl/>
      <w:spacing w:before="100" w:beforeAutospacing="1" w:after="100" w:afterAutospacing="1"/>
      <w:jc w:val="left"/>
      <w:textAlignment w:val="baseline"/>
    </w:pPr>
    <w:rPr>
      <w:rFonts w:ascii="宋体" w:hAnsi="宋体"/>
      <w:kern w:val="0"/>
      <w:sz w:val="24"/>
    </w:rPr>
  </w:style>
  <w:style w:type="paragraph" w:customStyle="1" w:styleId="456">
    <w:name w:val="UserStyle_393"/>
    <w:basedOn w:val="1"/>
    <w:qFormat/>
    <w:uiPriority w:val="0"/>
    <w:pPr>
      <w:widowControl/>
      <w:spacing w:line="400" w:lineRule="exact"/>
      <w:ind w:firstLine="200" w:firstLineChars="200"/>
      <w:textAlignment w:val="baseline"/>
    </w:pPr>
    <w:rPr>
      <w:sz w:val="24"/>
    </w:rPr>
  </w:style>
  <w:style w:type="paragraph" w:customStyle="1" w:styleId="457">
    <w:name w:val="UserStyle_224"/>
    <w:basedOn w:val="1"/>
    <w:qFormat/>
    <w:uiPriority w:val="0"/>
    <w:pPr>
      <w:widowControl/>
      <w:spacing w:line="240" w:lineRule="atLeast"/>
      <w:ind w:left="420" w:firstLine="420"/>
      <w:textAlignment w:val="baseline"/>
    </w:pPr>
    <w:rPr>
      <w:rFonts w:ascii="宋体"/>
      <w:kern w:val="0"/>
      <w:sz w:val="34"/>
      <w:szCs w:val="20"/>
    </w:rPr>
  </w:style>
  <w:style w:type="paragraph" w:customStyle="1" w:styleId="458">
    <w:name w:val="正文11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59">
    <w:name w:val="UserStyle_398"/>
    <w:basedOn w:val="1"/>
    <w:qFormat/>
    <w:uiPriority w:val="0"/>
    <w:pPr>
      <w:widowControl/>
      <w:spacing w:line="500" w:lineRule="exact"/>
      <w:ind w:firstLine="560" w:firstLineChars="200"/>
      <w:textAlignment w:val="baseline"/>
    </w:pPr>
    <w:rPr>
      <w:rFonts w:ascii="宋体"/>
      <w:kern w:val="0"/>
      <w:sz w:val="28"/>
      <w:szCs w:val="28"/>
    </w:rPr>
  </w:style>
  <w:style w:type="paragraph" w:customStyle="1" w:styleId="460">
    <w:name w:val="UserStyle_301"/>
    <w:next w:val="1"/>
    <w:qFormat/>
    <w:uiPriority w:val="0"/>
    <w:pPr>
      <w:tabs>
        <w:tab w:val="center" w:pos="6656"/>
      </w:tabs>
      <w:topLinePunct/>
      <w:spacing w:line="600" w:lineRule="exact"/>
      <w:ind w:firstLine="637" w:firstLineChars="200"/>
      <w:textAlignment w:val="baseline"/>
    </w:pPr>
    <w:rPr>
      <w:rFonts w:ascii="仿宋_GB2312" w:hAnsi="Times New Roman" w:eastAsia="仿宋_GB2312" w:cs="Times New Roman"/>
      <w:kern w:val="2"/>
      <w:sz w:val="32"/>
      <w:szCs w:val="32"/>
      <w:lang w:val="en-US" w:eastAsia="zh-CN" w:bidi="ar-SA"/>
    </w:rPr>
  </w:style>
  <w:style w:type="paragraph" w:customStyle="1" w:styleId="461">
    <w:name w:val="UserStyle_385"/>
    <w:basedOn w:val="1"/>
    <w:qFormat/>
    <w:uiPriority w:val="0"/>
    <w:pPr>
      <w:widowControl/>
      <w:spacing w:before="100" w:beforeAutospacing="1" w:after="100" w:afterAutospacing="1"/>
      <w:jc w:val="left"/>
      <w:textAlignment w:val="baseline"/>
    </w:pPr>
    <w:rPr>
      <w:rFonts w:ascii="宋体" w:hAnsi="宋体"/>
      <w:kern w:val="0"/>
      <w:sz w:val="24"/>
    </w:rPr>
  </w:style>
  <w:style w:type="paragraph" w:customStyle="1" w:styleId="462">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463">
    <w:name w:val="UserStyle_378"/>
    <w:basedOn w:val="1"/>
    <w:qFormat/>
    <w:uiPriority w:val="0"/>
    <w:pPr>
      <w:widowControl/>
      <w:spacing w:before="100" w:beforeAutospacing="1" w:after="100" w:afterAutospacing="1"/>
      <w:jc w:val="left"/>
      <w:textAlignment w:val="baseline"/>
    </w:pPr>
    <w:rPr>
      <w:rFonts w:ascii="宋体" w:eastAsia="Arial Unicode MS"/>
      <w:b/>
      <w:bCs/>
      <w:color w:val="000000"/>
      <w:kern w:val="0"/>
      <w:sz w:val="20"/>
      <w:szCs w:val="20"/>
    </w:rPr>
  </w:style>
  <w:style w:type="paragraph" w:customStyle="1" w:styleId="464">
    <w:name w:val="UserStyle_441"/>
    <w:basedOn w:val="290"/>
    <w:qFormat/>
    <w:uiPriority w:val="0"/>
  </w:style>
  <w:style w:type="paragraph" w:customStyle="1" w:styleId="465">
    <w:name w:val="List Paragraph1"/>
    <w:basedOn w:val="1"/>
    <w:qFormat/>
    <w:uiPriority w:val="0"/>
    <w:pPr>
      <w:ind w:firstLine="420" w:firstLineChars="200"/>
    </w:pPr>
    <w:rPr>
      <w:szCs w:val="21"/>
    </w:rPr>
  </w:style>
  <w:style w:type="paragraph" w:customStyle="1" w:styleId="466">
    <w:name w:val="UserStyle_20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Arial Unicode MS" w:hAnsi="Arial Unicode MS" w:eastAsia="Arial Unicode MS"/>
      <w:color w:val="000000"/>
      <w:kern w:val="0"/>
      <w:sz w:val="16"/>
      <w:szCs w:val="16"/>
    </w:rPr>
  </w:style>
  <w:style w:type="paragraph" w:customStyle="1" w:styleId="467">
    <w:name w:val="UserStyle_357"/>
    <w:basedOn w:val="1"/>
    <w:qFormat/>
    <w:uiPriority w:val="0"/>
    <w:pPr>
      <w:widowControl/>
      <w:textAlignment w:val="baseline"/>
    </w:pPr>
  </w:style>
  <w:style w:type="paragraph" w:customStyle="1" w:styleId="468">
    <w:name w:val="UserStyle_429"/>
    <w:basedOn w:val="1"/>
    <w:next w:val="469"/>
    <w:qFormat/>
    <w:uiPriority w:val="0"/>
    <w:pPr>
      <w:widowControl/>
      <w:numPr>
        <w:ilvl w:val="3"/>
        <w:numId w:val="6"/>
      </w:numPr>
      <w:tabs>
        <w:tab w:val="left" w:pos="312"/>
        <w:tab w:val="clear" w:pos="1680"/>
      </w:tabs>
      <w:ind w:left="0" w:firstLine="0"/>
      <w:jc w:val="left"/>
    </w:pPr>
    <w:rPr>
      <w:rFonts w:ascii="宋体" w:eastAsia="黑体"/>
      <w:kern w:val="0"/>
      <w:sz w:val="34"/>
      <w:szCs w:val="20"/>
    </w:rPr>
  </w:style>
  <w:style w:type="paragraph" w:customStyle="1" w:styleId="469">
    <w:name w:val="UserStyle_369"/>
    <w:qFormat/>
    <w:uiPriority w:val="0"/>
    <w:pPr>
      <w:ind w:firstLine="200" w:firstLineChars="200"/>
      <w:jc w:val="both"/>
      <w:textAlignment w:val="baseline"/>
    </w:pPr>
    <w:rPr>
      <w:rFonts w:ascii="宋体" w:hAnsi="Times New Roman" w:eastAsia="宋体" w:cs="Times New Roman"/>
      <w:sz w:val="21"/>
      <w:lang w:val="en-US" w:eastAsia="zh-CN" w:bidi="ar-SA"/>
    </w:rPr>
  </w:style>
  <w:style w:type="paragraph" w:customStyle="1" w:styleId="470">
    <w:name w:val="UserStyle_203"/>
    <w:basedOn w:val="1"/>
    <w:qFormat/>
    <w:uiPriority w:val="0"/>
    <w:pPr>
      <w:widowControl/>
      <w:ind w:firstLine="420" w:firstLineChars="200"/>
      <w:textAlignment w:val="baseline"/>
    </w:pPr>
    <w:rPr>
      <w:rFonts w:ascii="宋体"/>
      <w:szCs w:val="20"/>
    </w:rPr>
  </w:style>
  <w:style w:type="paragraph" w:customStyle="1" w:styleId="471">
    <w:name w:val="UserStyle_392"/>
    <w:basedOn w:val="1"/>
    <w:qFormat/>
    <w:uiPriority w:val="0"/>
    <w:pPr>
      <w:widowControl/>
      <w:spacing w:after="160" w:line="240" w:lineRule="exact"/>
      <w:jc w:val="left"/>
      <w:textAlignment w:val="baseline"/>
    </w:pPr>
    <w:rPr>
      <w:rFonts w:ascii="Verdana" w:hAnsi="Verdana"/>
      <w:kern w:val="0"/>
      <w:sz w:val="20"/>
      <w:szCs w:val="20"/>
      <w:lang w:eastAsia="en-US"/>
    </w:rPr>
  </w:style>
  <w:style w:type="paragraph" w:customStyle="1" w:styleId="472">
    <w:name w:val="UserStyle_303"/>
    <w:basedOn w:val="1"/>
    <w:qFormat/>
    <w:uiPriority w:val="0"/>
    <w:pPr>
      <w:widowControl/>
      <w:spacing w:before="120" w:after="120" w:line="300" w:lineRule="auto"/>
      <w:textAlignment w:val="baseline"/>
    </w:pPr>
    <w:rPr>
      <w:rFonts w:ascii="宋体" w:hAnsi="宋体"/>
      <w:b/>
      <w:kern w:val="0"/>
      <w:sz w:val="24"/>
      <w:szCs w:val="20"/>
    </w:rPr>
  </w:style>
  <w:style w:type="paragraph" w:customStyle="1" w:styleId="473">
    <w:name w:val="UserStyle_324"/>
    <w:basedOn w:val="1"/>
    <w:qFormat/>
    <w:uiPriority w:val="0"/>
    <w:pPr>
      <w:widowControl/>
      <w:textAlignment w:val="baseline"/>
    </w:pPr>
    <w:rPr>
      <w:rFonts w:ascii="宋体"/>
      <w:kern w:val="0"/>
      <w:sz w:val="34"/>
    </w:rPr>
  </w:style>
  <w:style w:type="paragraph" w:customStyle="1" w:styleId="474">
    <w:name w:val="UserStyle_229"/>
    <w:basedOn w:val="1"/>
    <w:qFormat/>
    <w:uiPriority w:val="0"/>
    <w:pPr>
      <w:widowControl/>
      <w:textAlignment w:val="baseline"/>
    </w:pPr>
    <w:rPr>
      <w:rFonts w:ascii="Tahoma" w:hAnsi="Tahoma"/>
      <w:sz w:val="34"/>
      <w:szCs w:val="20"/>
    </w:rPr>
  </w:style>
  <w:style w:type="paragraph" w:customStyle="1" w:styleId="475">
    <w:name w:val="_Style 15"/>
    <w:basedOn w:val="16"/>
    <w:qFormat/>
    <w:uiPriority w:val="0"/>
    <w:pPr>
      <w:adjustRightInd w:val="0"/>
      <w:snapToGrid w:val="0"/>
      <w:spacing w:line="360" w:lineRule="auto"/>
    </w:pPr>
    <w:rPr>
      <w:rFonts w:ascii="仿宋_GB2312" w:eastAsia="仿宋_GB2312"/>
      <w:sz w:val="24"/>
    </w:rPr>
  </w:style>
  <w:style w:type="paragraph" w:customStyle="1" w:styleId="476">
    <w:name w:val="UserStyle_354"/>
    <w:basedOn w:val="1"/>
    <w:qFormat/>
    <w:uiPriority w:val="0"/>
    <w:pPr>
      <w:widowControl/>
      <w:textAlignment w:val="baseline"/>
    </w:pPr>
    <w:rPr>
      <w:rFonts w:ascii="仿宋_GB2312"/>
      <w:b/>
      <w:sz w:val="30"/>
      <w:szCs w:val="20"/>
    </w:rPr>
  </w:style>
  <w:style w:type="paragraph" w:customStyle="1" w:styleId="477">
    <w:name w:val="UserStyle_29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宋体" w:hAnsi="宋体"/>
      <w:kern w:val="0"/>
      <w:sz w:val="20"/>
      <w:szCs w:val="20"/>
    </w:rPr>
  </w:style>
  <w:style w:type="paragraph" w:customStyle="1" w:styleId="478">
    <w:name w:val="UserStyle_1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ascii="宋体" w:hAnsi="宋体"/>
      <w:kern w:val="0"/>
      <w:sz w:val="34"/>
      <w:szCs w:val="20"/>
    </w:rPr>
  </w:style>
  <w:style w:type="paragraph" w:customStyle="1" w:styleId="479">
    <w:name w:val="ListBullet3"/>
    <w:basedOn w:val="1"/>
    <w:qFormat/>
    <w:uiPriority w:val="0"/>
    <w:pPr>
      <w:widowControl/>
      <w:numPr>
        <w:ilvl w:val="0"/>
        <w:numId w:val="7"/>
      </w:numPr>
      <w:tabs>
        <w:tab w:val="left" w:pos="1620"/>
      </w:tabs>
      <w:ind w:left="420" w:hanging="420"/>
    </w:pPr>
    <w:rPr>
      <w:rFonts w:ascii="宋体"/>
      <w:kern w:val="0"/>
      <w:sz w:val="34"/>
    </w:rPr>
  </w:style>
  <w:style w:type="paragraph" w:customStyle="1" w:styleId="480">
    <w:name w:val="UserStyle_186"/>
    <w:basedOn w:val="1"/>
    <w:qFormat/>
    <w:uiPriority w:val="0"/>
    <w:pPr>
      <w:widowControl/>
      <w:tabs>
        <w:tab w:val="left" w:pos="360"/>
      </w:tabs>
      <w:spacing w:line="360" w:lineRule="auto"/>
      <w:ind w:left="482" w:firstLine="200" w:firstLineChars="200"/>
      <w:textAlignment w:val="baseline"/>
    </w:pPr>
    <w:rPr>
      <w:rFonts w:ascii="宋体"/>
      <w:kern w:val="0"/>
      <w:sz w:val="24"/>
    </w:rPr>
  </w:style>
  <w:style w:type="paragraph" w:customStyle="1" w:styleId="481">
    <w:name w:val="UserStyle_331"/>
    <w:basedOn w:val="1"/>
    <w:qFormat/>
    <w:uiPriority w:val="0"/>
    <w:pPr>
      <w:widowControl/>
      <w:tabs>
        <w:tab w:val="left" w:pos="8520"/>
      </w:tabs>
      <w:spacing w:line="312" w:lineRule="auto"/>
      <w:ind w:right="-210" w:firstLine="556"/>
      <w:textAlignment w:val="baseline"/>
    </w:pPr>
    <w:rPr>
      <w:rFonts w:ascii="楷体_GB2312" w:eastAsia="楷体_GB2312"/>
      <w:sz w:val="28"/>
      <w:szCs w:val="20"/>
    </w:rPr>
  </w:style>
  <w:style w:type="paragraph" w:customStyle="1" w:styleId="482">
    <w:name w:val="UserStyle_282"/>
    <w:basedOn w:val="1"/>
    <w:qFormat/>
    <w:uiPriority w:val="0"/>
    <w:pPr>
      <w:widowControl/>
      <w:textAlignment w:val="baseline"/>
    </w:pPr>
    <w:rPr>
      <w:rFonts w:ascii="宋体"/>
      <w:szCs w:val="20"/>
    </w:rPr>
  </w:style>
  <w:style w:type="paragraph" w:customStyle="1" w:styleId="483">
    <w:name w:val="UserStyle_278"/>
    <w:basedOn w:val="318"/>
    <w:qFormat/>
    <w:uiPriority w:val="0"/>
    <w:pPr>
      <w:shd w:val="clear" w:color="auto" w:fill="000080"/>
    </w:pPr>
    <w:rPr>
      <w:rFonts w:ascii="Tahoma" w:hAnsi="Tahoma"/>
      <w:sz w:val="24"/>
      <w:szCs w:val="24"/>
    </w:rPr>
  </w:style>
  <w:style w:type="paragraph" w:customStyle="1" w:styleId="484">
    <w:name w:val="UserStyle_353"/>
    <w:basedOn w:val="114"/>
    <w:uiPriority w:val="0"/>
    <w:pPr>
      <w:tabs>
        <w:tab w:val="left" w:pos="2551"/>
      </w:tabs>
      <w:spacing w:line="372" w:lineRule="auto"/>
      <w:textAlignment w:val="auto"/>
    </w:pPr>
    <w:rPr>
      <w:rFonts w:ascii="宋体"/>
      <w:kern w:val="2"/>
    </w:rPr>
  </w:style>
  <w:style w:type="paragraph" w:customStyle="1" w:styleId="485">
    <w:name w:val="179"/>
    <w:basedOn w:val="1"/>
    <w:qFormat/>
    <w:uiPriority w:val="0"/>
    <w:pPr>
      <w:widowControl/>
      <w:ind w:firstLine="420" w:firstLineChars="200"/>
      <w:textAlignment w:val="baseline"/>
    </w:pPr>
    <w:rPr>
      <w:rFonts w:ascii="Calibri" w:hAnsi="Calibri"/>
      <w:kern w:val="0"/>
      <w:sz w:val="34"/>
      <w:szCs w:val="22"/>
    </w:rPr>
  </w:style>
  <w:style w:type="paragraph" w:customStyle="1" w:styleId="486">
    <w:name w:val="UserStyle_257"/>
    <w:basedOn w:val="221"/>
    <w:qFormat/>
    <w:uiPriority w:val="0"/>
    <w:pPr>
      <w:numPr>
        <w:ilvl w:val="8"/>
        <w:numId w:val="4"/>
      </w:numPr>
    </w:pPr>
  </w:style>
  <w:style w:type="paragraph" w:customStyle="1" w:styleId="487">
    <w:name w:val="UserStyle_20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宋体" w:hAnsi="宋体"/>
      <w:kern w:val="0"/>
      <w:sz w:val="20"/>
      <w:szCs w:val="20"/>
    </w:rPr>
  </w:style>
  <w:style w:type="paragraph" w:customStyle="1" w:styleId="488">
    <w:name w:val="UserStyle_222"/>
    <w:basedOn w:val="1"/>
    <w:qFormat/>
    <w:uiPriority w:val="0"/>
    <w:pPr>
      <w:widowControl/>
      <w:textAlignment w:val="baseline"/>
    </w:pPr>
    <w:rPr>
      <w:rFonts w:ascii="宋体"/>
      <w:szCs w:val="20"/>
    </w:rPr>
  </w:style>
  <w:style w:type="paragraph" w:customStyle="1" w:styleId="489">
    <w:name w:val="UserStyle_368"/>
    <w:basedOn w:val="1"/>
    <w:uiPriority w:val="0"/>
    <w:pPr>
      <w:widowControl/>
      <w:spacing w:before="120" w:after="120" w:line="360" w:lineRule="auto"/>
      <w:ind w:left="357" w:firstLine="200" w:firstLineChars="200"/>
      <w:textAlignment w:val="baseline"/>
    </w:pPr>
    <w:rPr>
      <w:rFonts w:ascii="仿宋_GB2312" w:hAnsi="仿宋_GB2312" w:eastAsia="仿宋_GB2312"/>
      <w:sz w:val="34"/>
      <w:szCs w:val="20"/>
    </w:rPr>
  </w:style>
  <w:style w:type="paragraph" w:customStyle="1" w:styleId="490">
    <w:name w:val="UserStyle_20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ascii="宋体" w:hAnsi="宋体"/>
      <w:kern w:val="0"/>
      <w:sz w:val="20"/>
      <w:szCs w:val="20"/>
    </w:rPr>
  </w:style>
  <w:style w:type="paragraph" w:customStyle="1" w:styleId="491">
    <w:name w:val="UserStyle_308"/>
    <w:basedOn w:val="1"/>
    <w:uiPriority w:val="0"/>
    <w:pPr>
      <w:widowControl/>
      <w:spacing w:before="240" w:after="60"/>
      <w:jc w:val="center"/>
      <w:textAlignment w:val="baseline"/>
    </w:pPr>
    <w:rPr>
      <w:rFonts w:ascii="Arial" w:hAnsi="Arial"/>
      <w:b/>
      <w:sz w:val="32"/>
      <w:szCs w:val="20"/>
    </w:rPr>
  </w:style>
  <w:style w:type="paragraph" w:customStyle="1" w:styleId="492">
    <w:name w:val="样式1"/>
    <w:basedOn w:val="1"/>
    <w:qFormat/>
    <w:uiPriority w:val="0"/>
    <w:pPr>
      <w:spacing w:before="120" w:after="120" w:line="300" w:lineRule="auto"/>
    </w:pPr>
    <w:rPr>
      <w:rFonts w:ascii="宋体" w:hAnsi="宋体"/>
      <w:b/>
      <w:sz w:val="24"/>
      <w:szCs w:val="20"/>
    </w:rPr>
  </w:style>
  <w:style w:type="paragraph" w:customStyle="1" w:styleId="493">
    <w:name w:val="UserStyle_306"/>
    <w:basedOn w:val="1"/>
    <w:qFormat/>
    <w:uiPriority w:val="0"/>
    <w:pPr>
      <w:widowControl/>
      <w:spacing w:before="100" w:beforeAutospacing="1" w:after="100" w:afterAutospacing="1"/>
      <w:jc w:val="center"/>
      <w:textAlignment w:val="baseline"/>
    </w:pPr>
    <w:rPr>
      <w:rFonts w:ascii="宋体" w:hAnsi="宋体"/>
      <w:kern w:val="0"/>
      <w:sz w:val="34"/>
      <w:szCs w:val="20"/>
    </w:rPr>
  </w:style>
  <w:style w:type="paragraph" w:customStyle="1" w:styleId="494">
    <w:name w:val="178"/>
    <w:qFormat/>
    <w:uiPriority w:val="0"/>
    <w:pPr>
      <w:textAlignment w:val="baseline"/>
    </w:pPr>
    <w:rPr>
      <w:rFonts w:ascii="宋体" w:hAnsi="Times New Roman" w:eastAsia="宋体" w:cs="Times New Roman"/>
      <w:sz w:val="34"/>
      <w:lang w:val="en-US" w:eastAsia="zh-CN" w:bidi="ar-SA"/>
    </w:rPr>
  </w:style>
  <w:style w:type="paragraph" w:customStyle="1" w:styleId="495">
    <w:name w:val="UserStyle_446"/>
    <w:basedOn w:val="1"/>
    <w:qFormat/>
    <w:uiPriority w:val="0"/>
    <w:pPr>
      <w:widowControl/>
      <w:spacing w:before="100" w:beforeAutospacing="1" w:after="100" w:afterAutospacing="1"/>
      <w:jc w:val="left"/>
      <w:textAlignment w:val="baseline"/>
    </w:pPr>
    <w:rPr>
      <w:rFonts w:ascii="宋体" w:hAnsi="宋体"/>
      <w:color w:val="000000"/>
      <w:kern w:val="0"/>
      <w:sz w:val="20"/>
      <w:szCs w:val="20"/>
    </w:rPr>
  </w:style>
  <w:style w:type="paragraph" w:customStyle="1" w:styleId="496">
    <w:name w:val="UserStyle_4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ascii="宋体" w:eastAsia="Arial Unicode MS"/>
      <w:b/>
      <w:bCs/>
      <w:color w:val="000000"/>
      <w:kern w:val="0"/>
      <w:sz w:val="20"/>
      <w:szCs w:val="20"/>
    </w:rPr>
  </w:style>
  <w:style w:type="paragraph" w:customStyle="1" w:styleId="497">
    <w:name w:val="UserStyle_35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baseline"/>
    </w:pPr>
    <w:rPr>
      <w:rFonts w:ascii="宋体" w:hAnsi="宋体"/>
      <w:kern w:val="0"/>
      <w:sz w:val="20"/>
      <w:szCs w:val="20"/>
    </w:rPr>
  </w:style>
  <w:style w:type="paragraph" w:customStyle="1" w:styleId="498">
    <w:name w:val="UserStyle_277"/>
    <w:basedOn w:val="1"/>
    <w:qFormat/>
    <w:uiPriority w:val="0"/>
    <w:pPr>
      <w:widowControl/>
      <w:spacing w:line="400" w:lineRule="exact"/>
      <w:ind w:firstLine="200" w:firstLineChars="200"/>
      <w:textAlignment w:val="baseline"/>
    </w:pPr>
    <w:rPr>
      <w:sz w:val="24"/>
    </w:rPr>
  </w:style>
  <w:style w:type="paragraph" w:customStyle="1" w:styleId="499">
    <w:name w:val="UserStyle_26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ascii="宋体" w:hAnsi="宋体"/>
      <w:kern w:val="0"/>
      <w:sz w:val="34"/>
      <w:szCs w:val="20"/>
    </w:rPr>
  </w:style>
  <w:style w:type="paragraph" w:customStyle="1" w:styleId="500">
    <w:name w:val="UserStyle_323"/>
    <w:basedOn w:val="1"/>
    <w:uiPriority w:val="0"/>
    <w:pPr>
      <w:widowControl/>
      <w:spacing w:line="360" w:lineRule="atLeast"/>
      <w:textAlignment w:val="baseline"/>
    </w:pPr>
    <w:rPr>
      <w:rFonts w:ascii="宋体" w:hAnsi="宋体"/>
      <w:kern w:val="0"/>
      <w:sz w:val="34"/>
      <w:szCs w:val="20"/>
    </w:rPr>
  </w:style>
  <w:style w:type="paragraph" w:customStyle="1" w:styleId="501">
    <w:name w:val="UserStyle_3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color w:val="FFFFFF"/>
      <w:kern w:val="0"/>
      <w:sz w:val="34"/>
      <w:szCs w:val="21"/>
    </w:rPr>
  </w:style>
  <w:style w:type="paragraph" w:styleId="502">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3">
    <w:name w:val="UserStyle_346"/>
    <w:basedOn w:val="1"/>
    <w:qFormat/>
    <w:uiPriority w:val="0"/>
    <w:pPr>
      <w:widowControl/>
      <w:pBdr>
        <w:top w:val="single" w:color="000000" w:sz="8" w:space="0"/>
        <w:left w:val="single" w:color="000000" w:sz="4" w:space="0"/>
        <w:bottom w:val="single" w:color="000000" w:sz="4" w:space="0"/>
        <w:right w:val="single" w:color="000000" w:sz="4" w:space="0"/>
      </w:pBdr>
      <w:spacing w:before="100" w:beforeAutospacing="1" w:after="100" w:afterAutospacing="1"/>
      <w:textAlignment w:val="center"/>
    </w:pPr>
    <w:rPr>
      <w:rFonts w:ascii="宋体" w:hAnsi="宋体"/>
      <w:kern w:val="0"/>
      <w:sz w:val="34"/>
      <w:szCs w:val="21"/>
    </w:rPr>
  </w:style>
  <w:style w:type="paragraph" w:customStyle="1" w:styleId="504">
    <w:name w:val="UserStyle_3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Arial Unicode MS" w:hAnsi="Arial Unicode MS" w:eastAsia="Arial Unicode MS"/>
      <w:color w:val="000000"/>
      <w:kern w:val="0"/>
      <w:sz w:val="22"/>
      <w:szCs w:val="22"/>
    </w:rPr>
  </w:style>
  <w:style w:type="paragraph" w:customStyle="1" w:styleId="505">
    <w:name w:val="修订1"/>
    <w:uiPriority w:val="0"/>
    <w:rPr>
      <w:rFonts w:ascii="Times New Roman" w:hAnsi="Times New Roman" w:eastAsia="宋体" w:cs="Times New Roman"/>
      <w:kern w:val="2"/>
      <w:sz w:val="21"/>
      <w:szCs w:val="24"/>
      <w:lang w:val="en-US" w:eastAsia="zh-CN" w:bidi="ar-SA"/>
    </w:rPr>
  </w:style>
  <w:style w:type="paragraph" w:customStyle="1" w:styleId="506">
    <w:name w:val="HtmlNormal"/>
    <w:basedOn w:val="1"/>
    <w:qFormat/>
    <w:uiPriority w:val="0"/>
    <w:pPr>
      <w:widowControl/>
      <w:spacing w:before="100" w:beforeAutospacing="1" w:after="100" w:afterAutospacing="1" w:line="408" w:lineRule="auto"/>
      <w:jc w:val="left"/>
      <w:textAlignment w:val="baseline"/>
    </w:pPr>
    <w:rPr>
      <w:rFonts w:ascii="Arial" w:hAnsi="Arial"/>
      <w:kern w:val="0"/>
      <w:sz w:val="18"/>
      <w:szCs w:val="18"/>
    </w:rPr>
  </w:style>
  <w:style w:type="paragraph" w:customStyle="1" w:styleId="507">
    <w:name w:val="UserStyle_387"/>
    <w:basedOn w:val="1"/>
    <w:qFormat/>
    <w:uiPriority w:val="0"/>
    <w:pPr>
      <w:widowControl/>
      <w:spacing w:line="360" w:lineRule="auto"/>
      <w:textAlignment w:val="baseline"/>
    </w:pPr>
    <w:rPr>
      <w:szCs w:val="20"/>
    </w:rPr>
  </w:style>
  <w:style w:type="paragraph" w:customStyle="1" w:styleId="508">
    <w:name w:val="UserStyle_264"/>
    <w:basedOn w:val="309"/>
    <w:next w:val="509"/>
    <w:qFormat/>
    <w:uiPriority w:val="0"/>
    <w:pPr>
      <w:tabs>
        <w:tab w:val="left" w:pos="420"/>
        <w:tab w:val="left" w:pos="540"/>
      </w:tabs>
      <w:spacing w:before="0" w:after="0" w:line="240" w:lineRule="auto"/>
      <w:ind w:left="540" w:hanging="360"/>
      <w:jc w:val="center"/>
    </w:pPr>
    <w:rPr>
      <w:rFonts w:ascii="黑体" w:eastAsia="黑体"/>
      <w:b w:val="0"/>
      <w:bCs w:val="0"/>
      <w:kern w:val="0"/>
      <w:sz w:val="52"/>
      <w:szCs w:val="20"/>
    </w:rPr>
  </w:style>
  <w:style w:type="paragraph" w:customStyle="1" w:styleId="509">
    <w:name w:val="UserStyle_265"/>
    <w:qFormat/>
    <w:uiPriority w:val="0"/>
    <w:pPr>
      <w:spacing w:line="312" w:lineRule="atLeast"/>
      <w:jc w:val="both"/>
      <w:textAlignment w:val="baseline"/>
    </w:pPr>
    <w:rPr>
      <w:rFonts w:ascii="宋体" w:hAnsi="Times New Roman" w:eastAsia="宋体" w:cs="Times New Roman"/>
      <w:sz w:val="34"/>
      <w:lang w:val="en-US" w:eastAsia="zh-CN" w:bidi="ar-SA"/>
    </w:rPr>
  </w:style>
  <w:style w:type="paragraph" w:customStyle="1" w:styleId="510">
    <w:name w:val="UserStyle_360"/>
    <w:basedOn w:val="1"/>
    <w:qFormat/>
    <w:uiPriority w:val="0"/>
    <w:pPr>
      <w:widowControl/>
      <w:snapToGrid w:val="0"/>
      <w:spacing w:line="240" w:lineRule="exact"/>
      <w:jc w:val="left"/>
      <w:textAlignment w:val="baseline"/>
    </w:pPr>
    <w:rPr>
      <w:rFonts w:ascii="Verdana" w:hAnsi="Verdana"/>
      <w:kern w:val="0"/>
      <w:sz w:val="20"/>
      <w:szCs w:val="20"/>
      <w:lang w:eastAsia="en-US"/>
    </w:rPr>
  </w:style>
  <w:style w:type="paragraph" w:customStyle="1" w:styleId="511">
    <w:name w:val="UserStyle_1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textAlignment w:val="top"/>
    </w:pPr>
    <w:rPr>
      <w:rFonts w:ascii="Arial Unicode MS" w:hAnsi="Arial Unicode MS" w:eastAsia="Arial Unicode MS"/>
      <w:color w:val="000000"/>
      <w:kern w:val="0"/>
      <w:sz w:val="20"/>
      <w:szCs w:val="20"/>
    </w:rPr>
  </w:style>
  <w:style w:type="paragraph" w:customStyle="1" w:styleId="512">
    <w:name w:val="UserStyle_187"/>
    <w:basedOn w:val="1"/>
    <w:qFormat/>
    <w:uiPriority w:val="0"/>
    <w:pPr>
      <w:widowControl/>
      <w:spacing w:before="100" w:beforeAutospacing="1" w:after="100" w:afterAutospacing="1"/>
      <w:jc w:val="left"/>
      <w:textAlignment w:val="baseline"/>
    </w:pPr>
    <w:rPr>
      <w:rFonts w:ascii="宋体" w:hAnsi="宋体"/>
      <w:kern w:val="0"/>
      <w:sz w:val="20"/>
      <w:szCs w:val="20"/>
    </w:rPr>
  </w:style>
  <w:style w:type="paragraph" w:customStyle="1" w:styleId="513">
    <w:name w:val="UserStyle_420"/>
    <w:basedOn w:val="1"/>
    <w:qFormat/>
    <w:uiPriority w:val="0"/>
    <w:pPr>
      <w:widowControl/>
      <w:textAlignment w:val="baseline"/>
    </w:pPr>
    <w:rPr>
      <w:rFonts w:ascii="宋体"/>
      <w:kern w:val="0"/>
      <w:sz w:val="34"/>
      <w:szCs w:val="20"/>
    </w:rPr>
  </w:style>
  <w:style w:type="paragraph" w:customStyle="1" w:styleId="514">
    <w:name w:val="UserStyle_280"/>
    <w:basedOn w:val="1"/>
    <w:qFormat/>
    <w:uiPriority w:val="0"/>
    <w:pPr>
      <w:widowControl/>
      <w:textAlignment w:val="baseline"/>
    </w:pPr>
    <w:rPr>
      <w:rFonts w:ascii="Tahoma" w:hAnsi="Tahoma"/>
      <w:kern w:val="0"/>
      <w:sz w:val="24"/>
      <w:szCs w:val="20"/>
    </w:rPr>
  </w:style>
  <w:style w:type="paragraph" w:customStyle="1" w:styleId="515">
    <w:name w:val="TOC1"/>
    <w:basedOn w:val="1"/>
    <w:next w:val="1"/>
    <w:uiPriority w:val="0"/>
    <w:pPr>
      <w:widowControl/>
      <w:tabs>
        <w:tab w:val="left" w:pos="840"/>
        <w:tab w:val="right" w:leader="dot" w:pos="8302"/>
      </w:tabs>
      <w:spacing w:before="120" w:after="120"/>
      <w:jc w:val="left"/>
      <w:textAlignment w:val="baseline"/>
    </w:pPr>
    <w:rPr>
      <w:rFonts w:ascii="微软雅黑" w:hAnsi="微软雅黑" w:eastAsia="微软雅黑"/>
      <w:color w:val="FFFFFF"/>
      <w:kern w:val="0"/>
      <w:sz w:val="24"/>
    </w:rPr>
  </w:style>
  <w:style w:type="paragraph" w:customStyle="1" w:styleId="516">
    <w:name w:val="UserStyle_399"/>
    <w:basedOn w:val="1"/>
    <w:qFormat/>
    <w:uiPriority w:val="0"/>
    <w:pPr>
      <w:widowControl/>
      <w:spacing w:before="100" w:beforeAutospacing="1" w:after="100" w:afterAutospacing="1"/>
      <w:jc w:val="center"/>
      <w:textAlignment w:val="baseline"/>
    </w:pPr>
    <w:rPr>
      <w:rFonts w:ascii="宋体" w:hAnsi="宋体" w:cs="宋体"/>
      <w:b/>
      <w:bCs/>
      <w:kern w:val="0"/>
      <w:sz w:val="40"/>
      <w:szCs w:val="40"/>
    </w:rPr>
  </w:style>
  <w:style w:type="paragraph" w:customStyle="1" w:styleId="517">
    <w:name w:val="UserStyle_409"/>
    <w:basedOn w:val="1"/>
    <w:uiPriority w:val="0"/>
    <w:pPr>
      <w:widowControl/>
      <w:spacing w:after="160" w:line="240" w:lineRule="exact"/>
      <w:jc w:val="left"/>
      <w:textAlignment w:val="baseline"/>
    </w:pPr>
  </w:style>
  <w:style w:type="paragraph" w:customStyle="1" w:styleId="518">
    <w:name w:val="UserStyle_209"/>
    <w:basedOn w:val="1"/>
    <w:qFormat/>
    <w:uiPriority w:val="0"/>
    <w:pPr>
      <w:widowControl/>
      <w:ind w:firstLine="420"/>
      <w:textAlignment w:val="baseline"/>
    </w:pPr>
    <w:rPr>
      <w:rFonts w:ascii="宋体"/>
      <w:kern w:val="0"/>
      <w:sz w:val="24"/>
      <w:szCs w:val="20"/>
    </w:rPr>
  </w:style>
  <w:style w:type="paragraph" w:customStyle="1" w:styleId="519">
    <w:name w:val="UserStyle_315"/>
    <w:basedOn w:val="279"/>
    <w:qFormat/>
    <w:uiPriority w:val="0"/>
    <w:pPr>
      <w:spacing w:line="240" w:lineRule="auto"/>
    </w:pPr>
    <w:rPr>
      <w:color w:val="000000"/>
      <w:sz w:val="21"/>
      <w:szCs w:val="21"/>
      <w:lang w:val="en-GB"/>
    </w:rPr>
  </w:style>
  <w:style w:type="paragraph" w:customStyle="1" w:styleId="520">
    <w:name w:val="UserStyle_194"/>
    <w:basedOn w:val="1"/>
    <w:uiPriority w:val="0"/>
    <w:pPr>
      <w:widowControl/>
      <w:ind w:left="240" w:leftChars="100" w:right="100" w:rightChars="100"/>
      <w:textAlignment w:val="baseline"/>
    </w:pPr>
    <w:rPr>
      <w:rFonts w:ascii="宋体" w:eastAsia="仿宋_GB2312"/>
      <w:sz w:val="28"/>
      <w:szCs w:val="20"/>
    </w:rPr>
  </w:style>
  <w:style w:type="paragraph" w:customStyle="1" w:styleId="521">
    <w:name w:val="UserStyle_40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ascii="宋体"/>
      <w:kern w:val="0"/>
      <w:sz w:val="34"/>
      <w:szCs w:val="20"/>
    </w:rPr>
  </w:style>
  <w:style w:type="paragraph" w:customStyle="1" w:styleId="522">
    <w:name w:val="UserStyle_437"/>
    <w:basedOn w:val="1"/>
    <w:qFormat/>
    <w:uiPriority w:val="0"/>
    <w:pPr>
      <w:widowControl/>
      <w:spacing w:after="160" w:line="240" w:lineRule="exact"/>
      <w:jc w:val="left"/>
      <w:textAlignment w:val="baseline"/>
    </w:pPr>
    <w:rPr>
      <w:rFonts w:ascii="Verdana" w:hAnsi="Verdana" w:eastAsia="仿宋_GB2312"/>
      <w:kern w:val="0"/>
      <w:sz w:val="34"/>
      <w:szCs w:val="20"/>
      <w:lang w:eastAsia="en-US"/>
    </w:rPr>
  </w:style>
  <w:style w:type="paragraph" w:customStyle="1" w:styleId="523">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524">
    <w:name w:val="UserStyle_21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Arial Unicode MS" w:hAnsi="Arial Unicode MS" w:eastAsia="Arial Unicode MS" w:cs="Arial Unicode MS"/>
      <w:b/>
      <w:bCs/>
      <w:color w:val="000000"/>
      <w:kern w:val="0"/>
      <w:sz w:val="20"/>
      <w:szCs w:val="20"/>
    </w:rPr>
  </w:style>
  <w:style w:type="paragraph" w:customStyle="1" w:styleId="525">
    <w:name w:val="UserStyle_249"/>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baseline"/>
    </w:pPr>
    <w:rPr>
      <w:rFonts w:ascii="宋体" w:hAnsi="宋体" w:cs="宋体"/>
      <w:b/>
      <w:bCs/>
      <w:kern w:val="0"/>
      <w:sz w:val="28"/>
      <w:szCs w:val="28"/>
    </w:rPr>
  </w:style>
  <w:style w:type="paragraph" w:customStyle="1" w:styleId="526">
    <w:name w:val="UserStyle_344"/>
    <w:basedOn w:val="1"/>
    <w:uiPriority w:val="0"/>
    <w:pPr>
      <w:widowControl/>
      <w:pBdr>
        <w:left w:val="single" w:color="000000" w:sz="4" w:space="0"/>
        <w:bottom w:val="single" w:color="000000" w:sz="8" w:space="0"/>
        <w:right w:val="single" w:color="000000" w:sz="4" w:space="0"/>
      </w:pBdr>
      <w:spacing w:before="100" w:beforeAutospacing="1" w:after="100" w:afterAutospacing="1"/>
      <w:jc w:val="right"/>
      <w:textAlignment w:val="center"/>
    </w:pPr>
    <w:rPr>
      <w:rFonts w:ascii="宋体"/>
      <w:kern w:val="0"/>
      <w:sz w:val="34"/>
      <w:szCs w:val="21"/>
    </w:rPr>
  </w:style>
  <w:style w:type="paragraph" w:customStyle="1" w:styleId="527">
    <w:name w:val="UserStyle_334"/>
    <w:basedOn w:val="318"/>
    <w:qFormat/>
    <w:uiPriority w:val="0"/>
    <w:pPr>
      <w:shd w:val="clear" w:color="auto" w:fill="000080"/>
    </w:pPr>
    <w:rPr>
      <w:rFonts w:ascii="Tahoma" w:hAnsi="Tahoma"/>
      <w:sz w:val="34"/>
      <w:szCs w:val="20"/>
    </w:rPr>
  </w:style>
  <w:style w:type="paragraph" w:customStyle="1" w:styleId="528">
    <w:name w:val="UserStyle_183"/>
    <w:basedOn w:val="1"/>
    <w:qFormat/>
    <w:uiPriority w:val="0"/>
    <w:pPr>
      <w:widowControl/>
      <w:spacing w:after="160" w:line="240" w:lineRule="exact"/>
      <w:jc w:val="left"/>
      <w:textAlignment w:val="baseline"/>
    </w:pPr>
    <w:rPr>
      <w:rFonts w:ascii="Verdana" w:hAnsi="Verdana" w:eastAsia="仿宋_GB2312"/>
      <w:kern w:val="0"/>
      <w:sz w:val="24"/>
      <w:szCs w:val="20"/>
      <w:lang w:eastAsia="en-US"/>
    </w:rPr>
  </w:style>
  <w:style w:type="paragraph" w:customStyle="1" w:styleId="529">
    <w:name w:val="空半行"/>
    <w:basedOn w:val="1"/>
    <w:uiPriority w:val="0"/>
    <w:pPr>
      <w:adjustRightInd w:val="0"/>
      <w:spacing w:line="120" w:lineRule="exact"/>
      <w:textAlignment w:val="baseline"/>
    </w:pPr>
    <w:rPr>
      <w:rFonts w:eastAsia="仿宋_GB2312"/>
      <w:color w:val="FFFFFF"/>
      <w:kern w:val="0"/>
      <w:sz w:val="30"/>
      <w:szCs w:val="20"/>
    </w:rPr>
  </w:style>
  <w:style w:type="paragraph" w:customStyle="1" w:styleId="530">
    <w:name w:val="正文文本缩进1"/>
    <w:basedOn w:val="1"/>
    <w:uiPriority w:val="0"/>
    <w:pPr>
      <w:spacing w:after="120"/>
      <w:ind w:left="420" w:leftChars="200"/>
    </w:pPr>
  </w:style>
  <w:style w:type="paragraph" w:customStyle="1" w:styleId="531">
    <w:name w:val="ListBullet2"/>
    <w:basedOn w:val="1"/>
    <w:qFormat/>
    <w:uiPriority w:val="0"/>
    <w:pPr>
      <w:widowControl/>
      <w:numPr>
        <w:ilvl w:val="0"/>
        <w:numId w:val="2"/>
      </w:numPr>
      <w:tabs>
        <w:tab w:val="left" w:pos="1440"/>
        <w:tab w:val="clear" w:pos="839"/>
      </w:tabs>
      <w:ind w:left="0" w:firstLine="0"/>
    </w:pPr>
    <w:rPr>
      <w:rFonts w:ascii="宋体"/>
      <w:kern w:val="0"/>
      <w:sz w:val="34"/>
    </w:rPr>
  </w:style>
  <w:style w:type="paragraph" w:customStyle="1" w:styleId="532">
    <w:name w:val="UserStyle_2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宋体" w:hAnsi="宋体"/>
      <w:kern w:val="0"/>
      <w:sz w:val="34"/>
      <w:szCs w:val="20"/>
    </w:rPr>
  </w:style>
  <w:style w:type="paragraph" w:customStyle="1" w:styleId="533">
    <w:name w:val="UserStyle_332"/>
    <w:basedOn w:val="1"/>
    <w:uiPriority w:val="0"/>
    <w:pPr>
      <w:widowControl/>
      <w:spacing w:line="300" w:lineRule="auto"/>
      <w:jc w:val="center"/>
      <w:textAlignment w:val="baseline"/>
    </w:pPr>
    <w:rPr>
      <w:rFonts w:ascii="宋体" w:hAnsi="宋体"/>
      <w:sz w:val="24"/>
      <w:szCs w:val="20"/>
    </w:rPr>
  </w:style>
  <w:style w:type="paragraph" w:customStyle="1" w:styleId="534">
    <w:name w:val="UserStyle_293"/>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baseline"/>
    </w:pPr>
    <w:rPr>
      <w:rFonts w:ascii="宋体" w:hAnsi="宋体" w:cs="宋体"/>
      <w:b/>
      <w:bCs/>
      <w:kern w:val="0"/>
      <w:sz w:val="34"/>
      <w:szCs w:val="20"/>
    </w:rPr>
  </w:style>
  <w:style w:type="paragraph" w:customStyle="1" w:styleId="535">
    <w:name w:val="UserStyle_4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ascii="宋体" w:hAnsi="宋体"/>
      <w:kern w:val="0"/>
      <w:sz w:val="34"/>
      <w:szCs w:val="20"/>
    </w:rPr>
  </w:style>
  <w:style w:type="paragraph" w:customStyle="1" w:styleId="536">
    <w:name w:val="UserStyle_2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宋体" w:hAnsi="宋体"/>
      <w:kern w:val="0"/>
      <w:sz w:val="34"/>
      <w:szCs w:val="20"/>
    </w:rPr>
  </w:style>
  <w:style w:type="paragraph" w:customStyle="1" w:styleId="537">
    <w:name w:val="TOC5"/>
    <w:basedOn w:val="1"/>
    <w:next w:val="1"/>
    <w:qFormat/>
    <w:uiPriority w:val="0"/>
    <w:pPr>
      <w:widowControl/>
      <w:ind w:left="1680" w:leftChars="800"/>
      <w:textAlignment w:val="baseline"/>
    </w:pPr>
    <w:rPr>
      <w:rFonts w:ascii="宋体"/>
      <w:kern w:val="0"/>
      <w:sz w:val="34"/>
    </w:rPr>
  </w:style>
  <w:style w:type="paragraph" w:customStyle="1" w:styleId="538">
    <w:name w:val="UserStyle_225"/>
    <w:qFormat/>
    <w:uiPriority w:val="0"/>
    <w:pPr>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539">
    <w:name w:val="UserStyle_39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ascii="宋体" w:hAnsi="宋体"/>
      <w:kern w:val="0"/>
      <w:sz w:val="20"/>
      <w:szCs w:val="20"/>
    </w:rPr>
  </w:style>
  <w:style w:type="paragraph" w:customStyle="1" w:styleId="540">
    <w:name w:val="UserStyle_175"/>
    <w:basedOn w:val="1"/>
    <w:qFormat/>
    <w:uiPriority w:val="0"/>
    <w:pPr>
      <w:widowControl/>
      <w:pBdr>
        <w:top w:val="single" w:color="000000" w:sz="4" w:space="0"/>
        <w:bottom w:val="single" w:color="000000" w:sz="4" w:space="0"/>
      </w:pBdr>
      <w:spacing w:before="100" w:beforeAutospacing="1" w:after="100" w:afterAutospacing="1"/>
      <w:jc w:val="left"/>
      <w:textAlignment w:val="baseline"/>
    </w:pPr>
    <w:rPr>
      <w:rFonts w:ascii="Arial Unicode MS" w:hAnsi="Arial Unicode MS" w:eastAsia="Arial Unicode MS" w:cs="Arial Unicode MS"/>
      <w:b/>
      <w:bCs/>
      <w:color w:val="000000"/>
      <w:kern w:val="0"/>
      <w:sz w:val="20"/>
      <w:szCs w:val="20"/>
    </w:rPr>
  </w:style>
  <w:style w:type="paragraph" w:customStyle="1" w:styleId="541">
    <w:name w:val="样式2"/>
    <w:basedOn w:val="1"/>
    <w:uiPriority w:val="0"/>
    <w:pPr>
      <w:spacing w:line="500" w:lineRule="exact"/>
      <w:ind w:firstLine="200" w:firstLineChars="200"/>
    </w:pPr>
    <w:rPr>
      <w:rFonts w:ascii="Calibri" w:hAnsi="Calibri" w:eastAsia="楷体_GB2312"/>
      <w:sz w:val="32"/>
      <w:szCs w:val="20"/>
    </w:rPr>
  </w:style>
  <w:style w:type="paragraph" w:customStyle="1" w:styleId="542">
    <w:name w:val="UserStyle_218"/>
    <w:basedOn w:val="1"/>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baseline"/>
    </w:pPr>
    <w:rPr>
      <w:rFonts w:ascii="Arial Unicode MS" w:hAnsi="Arial Unicode MS" w:eastAsia="Arial Unicode MS"/>
      <w:color w:val="000000"/>
      <w:kern w:val="0"/>
      <w:sz w:val="20"/>
      <w:szCs w:val="20"/>
    </w:rPr>
  </w:style>
  <w:style w:type="paragraph" w:customStyle="1" w:styleId="543">
    <w:name w:val="UserStyle_372"/>
    <w:basedOn w:val="1"/>
    <w:next w:val="1"/>
    <w:uiPriority w:val="0"/>
    <w:pPr>
      <w:widowControl/>
      <w:ind w:firstLine="420"/>
      <w:textAlignment w:val="baseline"/>
    </w:pPr>
    <w:rPr>
      <w:rFonts w:ascii="宋体"/>
      <w:color w:val="000000"/>
      <w:kern w:val="0"/>
      <w:sz w:val="34"/>
      <w:szCs w:val="20"/>
    </w:rPr>
  </w:style>
  <w:style w:type="paragraph" w:customStyle="1" w:styleId="544">
    <w:name w:val="UserStyle_430"/>
    <w:basedOn w:val="1"/>
    <w:qFormat/>
    <w:uiPriority w:val="0"/>
    <w:pPr>
      <w:widowControl/>
      <w:numPr>
        <w:ilvl w:val="0"/>
        <w:numId w:val="6"/>
      </w:numPr>
      <w:tabs>
        <w:tab w:val="left" w:pos="312"/>
        <w:tab w:val="left" w:pos="360"/>
        <w:tab w:val="clear" w:pos="540"/>
      </w:tabs>
      <w:spacing w:line="360" w:lineRule="auto"/>
      <w:ind w:left="0" w:firstLine="0"/>
    </w:pPr>
    <w:rPr>
      <w:rFonts w:ascii="宋体"/>
      <w:kern w:val="0"/>
      <w:sz w:val="24"/>
    </w:rPr>
  </w:style>
  <w:style w:type="paragraph" w:customStyle="1" w:styleId="545">
    <w:name w:val="UserStyle_184"/>
    <w:basedOn w:val="1"/>
    <w:qFormat/>
    <w:uiPriority w:val="0"/>
    <w:pPr>
      <w:widowControl/>
      <w:spacing w:before="100" w:beforeAutospacing="1" w:after="100" w:afterAutospacing="1" w:line="280" w:lineRule="atLeast"/>
      <w:jc w:val="left"/>
      <w:textAlignment w:val="baseline"/>
    </w:pPr>
    <w:rPr>
      <w:rFonts w:ascii="Arial" w:hAnsi="Arial" w:eastAsia="Arial Unicode MS"/>
      <w:color w:val="000000"/>
      <w:kern w:val="0"/>
      <w:sz w:val="18"/>
      <w:szCs w:val="20"/>
    </w:rPr>
  </w:style>
  <w:style w:type="paragraph" w:customStyle="1" w:styleId="546">
    <w:name w:val="_Style 2"/>
    <w:basedOn w:val="1"/>
    <w:uiPriority w:val="0"/>
    <w:pPr>
      <w:ind w:firstLine="420" w:firstLineChars="200"/>
    </w:pPr>
    <w:rPr>
      <w:rFonts w:ascii="Calibri" w:hAnsi="Calibri"/>
      <w:kern w:val="0"/>
      <w:sz w:val="34"/>
      <w:szCs w:val="22"/>
    </w:rPr>
  </w:style>
  <w:style w:type="paragraph" w:customStyle="1" w:styleId="547">
    <w:name w:val="UserStyle_30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baseline"/>
    </w:pPr>
    <w:rPr>
      <w:rFonts w:ascii="宋体" w:hAnsi="宋体"/>
      <w:kern w:val="0"/>
      <w:sz w:val="34"/>
      <w:szCs w:val="20"/>
    </w:rPr>
  </w:style>
  <w:style w:type="paragraph" w:customStyle="1" w:styleId="548">
    <w:name w:val="UserStyle_275"/>
    <w:basedOn w:val="1"/>
    <w:qFormat/>
    <w:uiPriority w:val="0"/>
    <w:pPr>
      <w:widowControl/>
      <w:spacing w:line="360" w:lineRule="auto"/>
      <w:ind w:firstLine="480" w:firstLineChars="200"/>
      <w:textAlignment w:val="baseline"/>
    </w:pPr>
    <w:rPr>
      <w:rFonts w:ascii="宋体"/>
      <w:sz w:val="34"/>
      <w:szCs w:val="20"/>
    </w:rPr>
  </w:style>
  <w:style w:type="paragraph" w:customStyle="1" w:styleId="549">
    <w:name w:val="UserStyle_414"/>
    <w:basedOn w:val="126"/>
    <w:qFormat/>
    <w:uiPriority w:val="0"/>
  </w:style>
  <w:style w:type="paragraph" w:customStyle="1" w:styleId="550">
    <w:name w:val="UserStyle_234"/>
    <w:basedOn w:val="1"/>
    <w:qFormat/>
    <w:uiPriority w:val="0"/>
    <w:pPr>
      <w:widowControl/>
      <w:spacing w:before="100" w:beforeAutospacing="1" w:after="100" w:afterAutospacing="1"/>
      <w:jc w:val="left"/>
      <w:textAlignment w:val="baseline"/>
    </w:pPr>
    <w:rPr>
      <w:rFonts w:ascii="宋体" w:hAnsi="宋体"/>
      <w:kern w:val="0"/>
      <w:sz w:val="20"/>
      <w:szCs w:val="20"/>
    </w:rPr>
  </w:style>
  <w:style w:type="paragraph" w:customStyle="1" w:styleId="551">
    <w:name w:val="p0"/>
    <w:basedOn w:val="1"/>
    <w:uiPriority w:val="0"/>
    <w:pPr>
      <w:widowControl/>
      <w:spacing w:before="100" w:beforeAutospacing="1" w:after="100" w:afterAutospacing="1"/>
      <w:jc w:val="left"/>
    </w:pPr>
    <w:rPr>
      <w:rFonts w:ascii="宋体" w:hAnsi="宋体" w:eastAsia="黑体" w:cs="宋体"/>
      <w:color w:val="2E2E2E"/>
      <w:kern w:val="0"/>
      <w:szCs w:val="21"/>
    </w:rPr>
  </w:style>
  <w:style w:type="paragraph" w:customStyle="1" w:styleId="552">
    <w:name w:val="Char Char Char Char Char Char Char Char Char Char Char Char Char Char Char Char"/>
    <w:basedOn w:val="1"/>
    <w:uiPriority w:val="0"/>
    <w:pPr>
      <w:tabs>
        <w:tab w:val="left" w:pos="360"/>
      </w:tabs>
    </w:pPr>
    <w:rPr>
      <w:sz w:val="24"/>
    </w:rPr>
  </w:style>
  <w:style w:type="paragraph" w:customStyle="1" w:styleId="553">
    <w:name w:val="正文首行缩进两字符"/>
    <w:basedOn w:val="1"/>
    <w:qFormat/>
    <w:uiPriority w:val="0"/>
    <w:pPr>
      <w:spacing w:line="360" w:lineRule="auto"/>
      <w:ind w:firstLine="200" w:firstLineChars="200"/>
    </w:pPr>
  </w:style>
  <w:style w:type="paragraph" w:customStyle="1" w:styleId="554">
    <w:name w:val="UserStyle_191"/>
    <w:basedOn w:val="1"/>
    <w:qFormat/>
    <w:uiPriority w:val="0"/>
    <w:pPr>
      <w:widowControl/>
      <w:tabs>
        <w:tab w:val="left" w:pos="2835"/>
        <w:tab w:val="left" w:pos="3119"/>
        <w:tab w:val="left" w:pos="3402"/>
        <w:tab w:val="left" w:pos="3686"/>
        <w:tab w:val="left" w:pos="3969"/>
        <w:tab w:val="left" w:pos="4253"/>
      </w:tabs>
      <w:ind w:left="2552"/>
      <w:jc w:val="left"/>
      <w:textAlignment w:val="baseline"/>
    </w:pPr>
    <w:rPr>
      <w:rFonts w:ascii="Syntax" w:hAnsi="Syntax"/>
      <w:kern w:val="0"/>
      <w:sz w:val="20"/>
      <w:szCs w:val="20"/>
      <w:lang w:val="de-DE" w:eastAsia="de-DE"/>
    </w:rPr>
  </w:style>
  <w:style w:type="paragraph" w:customStyle="1" w:styleId="555">
    <w:name w:val="UserStyle_377"/>
    <w:basedOn w:val="94"/>
    <w:uiPriority w:val="0"/>
  </w:style>
  <w:style w:type="paragraph" w:customStyle="1" w:styleId="556">
    <w:name w:val="UserStyle_247"/>
    <w:qFormat/>
    <w:uiPriority w:val="0"/>
    <w:pPr>
      <w:textAlignment w:val="baseline"/>
    </w:pPr>
    <w:rPr>
      <w:rFonts w:ascii="宋体" w:hAnsi="宋体" w:eastAsia="宋体" w:cs="Times New Roman"/>
      <w:sz w:val="24"/>
      <w:szCs w:val="24"/>
      <w:lang w:val="en-US" w:eastAsia="zh-CN" w:bidi="ar-SA"/>
    </w:rPr>
  </w:style>
  <w:style w:type="paragraph" w:customStyle="1" w:styleId="557">
    <w:name w:val="UserStyle_232"/>
    <w:basedOn w:val="1"/>
    <w:qFormat/>
    <w:uiPriority w:val="0"/>
    <w:pPr>
      <w:widowControl/>
      <w:spacing w:before="100" w:beforeAutospacing="1" w:after="100" w:afterAutospacing="1"/>
      <w:jc w:val="center"/>
      <w:textAlignment w:val="baseline"/>
    </w:pPr>
    <w:rPr>
      <w:rFonts w:ascii="宋体" w:hAnsi="宋体" w:cs="宋体"/>
      <w:b/>
      <w:bCs/>
      <w:kern w:val="0"/>
      <w:sz w:val="20"/>
      <w:szCs w:val="20"/>
    </w:rPr>
  </w:style>
  <w:style w:type="paragraph" w:customStyle="1" w:styleId="558">
    <w:name w:val="UserStyle_192"/>
    <w:basedOn w:val="1"/>
    <w:uiPriority w:val="0"/>
    <w:pPr>
      <w:widowControl/>
      <w:spacing w:before="100" w:beforeAutospacing="1" w:after="100" w:afterAutospacing="1"/>
      <w:jc w:val="left"/>
      <w:textAlignment w:val="baseline"/>
    </w:pPr>
    <w:rPr>
      <w:rFonts w:ascii="宋体" w:hAnsi="宋体"/>
      <w:color w:val="CC3300"/>
      <w:kern w:val="0"/>
      <w:sz w:val="24"/>
    </w:rPr>
  </w:style>
  <w:style w:type="paragraph" w:customStyle="1" w:styleId="559">
    <w:name w:val="样式 首行缩进:  2 字符"/>
    <w:basedOn w:val="1"/>
    <w:uiPriority w:val="0"/>
    <w:pPr>
      <w:spacing w:line="400" w:lineRule="exact"/>
      <w:ind w:firstLine="200" w:firstLineChars="200"/>
    </w:pPr>
    <w:rPr>
      <w:rFonts w:cs="宋体"/>
      <w:sz w:val="24"/>
    </w:rPr>
  </w:style>
  <w:style w:type="paragraph" w:customStyle="1" w:styleId="560">
    <w:name w:val="表格"/>
    <w:basedOn w:val="1"/>
    <w:uiPriority w:val="0"/>
    <w:pPr>
      <w:spacing w:line="400" w:lineRule="exact"/>
    </w:pPr>
    <w:rPr>
      <w:sz w:val="24"/>
    </w:rPr>
  </w:style>
  <w:style w:type="paragraph" w:customStyle="1" w:styleId="561">
    <w:name w:val="UserStyle_205"/>
    <w:basedOn w:val="1"/>
    <w:qFormat/>
    <w:uiPriority w:val="0"/>
    <w:pPr>
      <w:widowControl/>
      <w:spacing w:line="360" w:lineRule="auto"/>
      <w:ind w:firstLine="480" w:firstLineChars="200"/>
      <w:textAlignment w:val="baseline"/>
    </w:pPr>
    <w:rPr>
      <w:rFonts w:ascii="仿宋_GB2312" w:eastAsia="新宋体"/>
      <w:kern w:val="0"/>
      <w:sz w:val="24"/>
      <w:szCs w:val="20"/>
    </w:rPr>
  </w:style>
  <w:style w:type="paragraph" w:customStyle="1" w:styleId="562">
    <w:name w:val="UserStyle_223"/>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baseline"/>
    </w:pPr>
    <w:rPr>
      <w:rFonts w:ascii="Arial Unicode MS" w:hAnsi="Arial Unicode MS" w:eastAsia="Arial Unicode MS"/>
      <w:color w:val="000000"/>
      <w:kern w:val="0"/>
      <w:sz w:val="20"/>
      <w:szCs w:val="20"/>
    </w:rPr>
  </w:style>
  <w:style w:type="paragraph" w:customStyle="1" w:styleId="563">
    <w:name w:val="UserStyle_248"/>
    <w:basedOn w:val="1"/>
    <w:uiPriority w:val="0"/>
    <w:pPr>
      <w:widowControl/>
      <w:tabs>
        <w:tab w:val="left" w:pos="1740"/>
      </w:tabs>
      <w:snapToGrid w:val="0"/>
      <w:spacing w:before="50"/>
      <w:ind w:left="1740" w:hanging="420"/>
      <w:textAlignment w:val="baseline"/>
    </w:pPr>
    <w:rPr>
      <w:rFonts w:ascii="Arial Narrow" w:hAnsi="Arial Narrow" w:eastAsia="仿宋_GB2312"/>
      <w:sz w:val="28"/>
      <w:szCs w:val="20"/>
    </w:rPr>
  </w:style>
  <w:style w:type="paragraph" w:customStyle="1" w:styleId="564">
    <w:name w:val="UserStyle_402"/>
    <w:next w:val="1"/>
    <w:uiPriority w:val="0"/>
    <w:pPr>
      <w:keepLines/>
      <w:numPr>
        <w:ilvl w:val="8"/>
        <w:numId w:val="2"/>
      </w:numPr>
      <w:tabs>
        <w:tab w:val="left" w:pos="1559"/>
        <w:tab w:val="clear" w:pos="3780"/>
      </w:tabs>
      <w:spacing w:before="312"/>
      <w:ind w:left="0" w:firstLine="0"/>
      <w:jc w:val="center"/>
    </w:pPr>
    <w:rPr>
      <w:rFonts w:ascii="Arial" w:hAnsi="Arial" w:eastAsia="宋体" w:cs="Times New Roman"/>
      <w:sz w:val="18"/>
      <w:lang w:val="en-US" w:eastAsia="zh-CN" w:bidi="ar-SA"/>
    </w:rPr>
  </w:style>
  <w:style w:type="paragraph" w:customStyle="1" w:styleId="565">
    <w:name w:val="UserStyle_39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Arial Unicode MS" w:hAnsi="Arial Unicode MS" w:eastAsia="Arial Unicode MS"/>
      <w:color w:val="000000"/>
      <w:kern w:val="0"/>
      <w:sz w:val="20"/>
      <w:szCs w:val="20"/>
    </w:rPr>
  </w:style>
  <w:style w:type="paragraph" w:customStyle="1" w:styleId="566">
    <w:name w:val="UserStyle_343"/>
    <w:basedOn w:val="1"/>
    <w:qFormat/>
    <w:uiPriority w:val="0"/>
    <w:pPr>
      <w:widowControl/>
      <w:textAlignment w:val="baseline"/>
    </w:pPr>
    <w:rPr>
      <w:rFonts w:ascii="Tahoma" w:hAnsi="Tahoma"/>
      <w:kern w:val="0"/>
      <w:sz w:val="24"/>
      <w:szCs w:val="20"/>
    </w:rPr>
  </w:style>
  <w:style w:type="paragraph" w:customStyle="1" w:styleId="567">
    <w:name w:val="UserStyle_445"/>
    <w:basedOn w:val="1"/>
    <w:qFormat/>
    <w:uiPriority w:val="0"/>
    <w:pPr>
      <w:widowControl/>
      <w:spacing w:before="100" w:beforeAutospacing="1" w:after="100" w:afterAutospacing="1"/>
      <w:jc w:val="center"/>
      <w:textAlignment w:val="baseline"/>
    </w:pPr>
    <w:rPr>
      <w:rFonts w:ascii="宋体" w:hAnsi="宋体"/>
      <w:kern w:val="0"/>
      <w:sz w:val="34"/>
      <w:szCs w:val="20"/>
    </w:rPr>
  </w:style>
  <w:style w:type="paragraph" w:customStyle="1" w:styleId="568">
    <w:name w:val="UserStyle_400"/>
    <w:basedOn w:val="1"/>
    <w:qFormat/>
    <w:uiPriority w:val="0"/>
    <w:pPr>
      <w:widowControl/>
      <w:textAlignment w:val="baseline"/>
    </w:pPr>
    <w:rPr>
      <w:rFonts w:ascii="宋体"/>
      <w:kern w:val="0"/>
      <w:sz w:val="34"/>
      <w:szCs w:val="20"/>
    </w:rPr>
  </w:style>
  <w:style w:type="paragraph" w:customStyle="1" w:styleId="569">
    <w:name w:val="UserStyle_436"/>
    <w:basedOn w:val="1"/>
    <w:qFormat/>
    <w:uiPriority w:val="0"/>
    <w:pPr>
      <w:widowControl/>
      <w:spacing w:after="160" w:line="240" w:lineRule="exact"/>
      <w:jc w:val="left"/>
      <w:textAlignment w:val="baseline"/>
    </w:pPr>
    <w:rPr>
      <w:rFonts w:ascii="Verdana" w:hAnsi="Verdana"/>
      <w:kern w:val="0"/>
      <w:sz w:val="20"/>
      <w:szCs w:val="20"/>
      <w:lang w:eastAsia="en-US"/>
    </w:rPr>
  </w:style>
  <w:style w:type="paragraph" w:customStyle="1" w:styleId="570">
    <w:name w:val="UserStyle_317"/>
    <w:basedOn w:val="1"/>
    <w:qFormat/>
    <w:uiPriority w:val="0"/>
    <w:pPr>
      <w:widowControl/>
      <w:spacing w:before="100" w:beforeAutospacing="1" w:after="100" w:afterAutospacing="1"/>
      <w:jc w:val="left"/>
      <w:textAlignment w:val="baseline"/>
    </w:pPr>
    <w:rPr>
      <w:rFonts w:ascii="宋体" w:hAnsi="宋体"/>
      <w:color w:val="000000"/>
      <w:kern w:val="0"/>
      <w:sz w:val="22"/>
      <w:szCs w:val="22"/>
    </w:rPr>
  </w:style>
  <w:style w:type="paragraph" w:customStyle="1" w:styleId="571">
    <w:name w:val="UserStyle_428"/>
    <w:basedOn w:val="1"/>
    <w:qFormat/>
    <w:uiPriority w:val="0"/>
    <w:pPr>
      <w:widowControl/>
      <w:spacing w:before="100" w:beforeAutospacing="1" w:after="100" w:afterAutospacing="1"/>
      <w:jc w:val="left"/>
      <w:textAlignment w:val="baseline"/>
    </w:pPr>
    <w:rPr>
      <w:rFonts w:ascii="宋体" w:hAnsi="宋体"/>
      <w:kern w:val="0"/>
      <w:sz w:val="24"/>
    </w:rPr>
  </w:style>
  <w:style w:type="paragraph" w:customStyle="1" w:styleId="572">
    <w:name w:val="UserStyle_210"/>
    <w:basedOn w:val="1"/>
    <w:qFormat/>
    <w:uiPriority w:val="0"/>
    <w:pPr>
      <w:widowControl/>
      <w:spacing w:before="100" w:beforeAutospacing="1" w:after="100" w:afterAutospacing="1" w:line="450" w:lineRule="atLeast"/>
      <w:jc w:val="left"/>
      <w:textAlignment w:val="baseline"/>
    </w:pPr>
    <w:rPr>
      <w:rFonts w:ascii="Arial" w:hAnsi="Arial" w:cs="Arial"/>
      <w:b/>
      <w:bCs/>
      <w:kern w:val="0"/>
      <w:szCs w:val="21"/>
    </w:rPr>
  </w:style>
  <w:style w:type="paragraph" w:customStyle="1" w:styleId="573">
    <w:name w:val="UserStyle_4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color w:val="FF6600"/>
      <w:kern w:val="0"/>
      <w:sz w:val="20"/>
      <w:szCs w:val="20"/>
    </w:rPr>
  </w:style>
  <w:style w:type="paragraph" w:customStyle="1" w:styleId="574">
    <w:name w:val="UserStyle_321"/>
    <w:basedOn w:val="1"/>
    <w:qFormat/>
    <w:uiPriority w:val="0"/>
    <w:pPr>
      <w:widowControl/>
      <w:numPr>
        <w:ilvl w:val="1"/>
        <w:numId w:val="3"/>
      </w:numPr>
      <w:tabs>
        <w:tab w:val="left" w:pos="1049"/>
      </w:tabs>
      <w:spacing w:before="60"/>
      <w:ind w:left="0" w:firstLine="0"/>
    </w:pPr>
    <w:rPr>
      <w:rFonts w:ascii="宋体"/>
      <w:szCs w:val="20"/>
    </w:rPr>
  </w:style>
  <w:style w:type="paragraph" w:customStyle="1" w:styleId="575">
    <w:name w:val="UserStyle_337"/>
    <w:basedOn w:val="1"/>
    <w:uiPriority w:val="0"/>
    <w:pPr>
      <w:widowControl/>
      <w:pBdr>
        <w:top w:val="single" w:color="000000" w:sz="4" w:space="0"/>
        <w:left w:val="single" w:color="000000" w:sz="4" w:space="0"/>
        <w:bottom w:val="single" w:color="000000" w:sz="8" w:space="0"/>
        <w:right w:val="single" w:color="000000" w:sz="4" w:space="0"/>
      </w:pBdr>
      <w:spacing w:before="100" w:beforeAutospacing="1" w:after="100" w:afterAutospacing="1"/>
      <w:textAlignment w:val="center"/>
    </w:pPr>
    <w:rPr>
      <w:rFonts w:ascii="宋体" w:hAnsi="宋体"/>
      <w:kern w:val="0"/>
      <w:sz w:val="34"/>
      <w:szCs w:val="21"/>
    </w:rPr>
  </w:style>
  <w:style w:type="paragraph" w:customStyle="1" w:styleId="576">
    <w:name w:val="UserStyle_185"/>
    <w:basedOn w:val="1"/>
    <w:qFormat/>
    <w:uiPriority w:val="0"/>
    <w:pPr>
      <w:widowControl/>
      <w:textAlignment w:val="baseline"/>
    </w:pPr>
    <w:rPr>
      <w:rFonts w:ascii="仿宋_GB2312"/>
      <w:b/>
      <w:kern w:val="0"/>
      <w:sz w:val="30"/>
      <w:szCs w:val="32"/>
    </w:rPr>
  </w:style>
  <w:style w:type="paragraph" w:customStyle="1" w:styleId="577">
    <w:name w:val="UserStyle_199"/>
    <w:basedOn w:val="1"/>
    <w:qFormat/>
    <w:uiPriority w:val="0"/>
    <w:pPr>
      <w:widowControl/>
      <w:ind w:firstLine="420" w:firstLineChars="200"/>
      <w:textAlignment w:val="baseline"/>
    </w:pPr>
    <w:rPr>
      <w:rFonts w:ascii="Calibri" w:hAnsi="Calibri"/>
    </w:rPr>
  </w:style>
  <w:style w:type="paragraph" w:customStyle="1" w:styleId="578">
    <w:name w:val="正文11"/>
    <w:qFormat/>
    <w:uiPriority w:val="0"/>
    <w:pPr>
      <w:widowControl w:val="0"/>
      <w:adjustRightInd w:val="0"/>
      <w:spacing w:line="312" w:lineRule="atLeast"/>
      <w:jc w:val="both"/>
    </w:pPr>
    <w:rPr>
      <w:rFonts w:ascii="宋体" w:hAnsi="Times New Roman" w:eastAsia="宋体" w:cs="Times New Roman"/>
      <w:sz w:val="34"/>
      <w:szCs w:val="22"/>
      <w:lang w:val="en-US" w:eastAsia="zh-CN" w:bidi="ar-SA"/>
    </w:rPr>
  </w:style>
  <w:style w:type="paragraph" w:customStyle="1" w:styleId="579">
    <w:name w:val="UserStyle_260"/>
    <w:basedOn w:val="1"/>
    <w:qFormat/>
    <w:uiPriority w:val="0"/>
    <w:pPr>
      <w:widowControl/>
      <w:spacing w:before="100" w:beforeAutospacing="1" w:after="100" w:afterAutospacing="1" w:line="270" w:lineRule="atLeast"/>
      <w:jc w:val="left"/>
      <w:textAlignment w:val="baseline"/>
    </w:pPr>
    <w:rPr>
      <w:rFonts w:ascii="宋体" w:hAnsi="宋体"/>
      <w:color w:val="FFFFFF"/>
      <w:kern w:val="0"/>
      <w:szCs w:val="21"/>
    </w:rPr>
  </w:style>
  <w:style w:type="paragraph" w:customStyle="1" w:styleId="580">
    <w:name w:val="UserStyle_30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color w:val="FFFFFF"/>
      <w:kern w:val="0"/>
      <w:sz w:val="34"/>
      <w:szCs w:val="21"/>
    </w:rPr>
  </w:style>
  <w:style w:type="paragraph" w:customStyle="1" w:styleId="581">
    <w:name w:val="UserStyle_251"/>
    <w:basedOn w:val="114"/>
    <w:next w:val="114"/>
    <w:uiPriority w:val="0"/>
    <w:pPr>
      <w:numPr>
        <w:ilvl w:val="4"/>
        <w:numId w:val="4"/>
      </w:numPr>
      <w:tabs>
        <w:tab w:val="left" w:pos="1521"/>
      </w:tabs>
      <w:spacing w:before="0" w:after="0" w:line="300" w:lineRule="exact"/>
      <w:ind w:left="1521" w:firstLine="630" w:firstLineChars="300"/>
      <w:textAlignment w:val="auto"/>
    </w:pPr>
    <w:rPr>
      <w:b w:val="0"/>
      <w:color w:val="000000"/>
      <w:kern w:val="2"/>
      <w:sz w:val="21"/>
      <w:szCs w:val="32"/>
    </w:rPr>
  </w:style>
  <w:style w:type="paragraph" w:customStyle="1" w:styleId="582">
    <w:name w:val="UserStyle_227"/>
    <w:basedOn w:val="1"/>
    <w:uiPriority w:val="0"/>
    <w:pPr>
      <w:widowControl/>
      <w:spacing w:before="100" w:after="100"/>
      <w:ind w:left="360" w:right="360"/>
      <w:jc w:val="left"/>
      <w:textAlignment w:val="baseline"/>
    </w:pPr>
    <w:rPr>
      <w:kern w:val="0"/>
      <w:sz w:val="24"/>
      <w:szCs w:val="20"/>
    </w:rPr>
  </w:style>
  <w:style w:type="paragraph" w:customStyle="1" w:styleId="583">
    <w:name w:val="UserStyle_29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ascii="宋体" w:hAnsi="宋体"/>
      <w:kern w:val="0"/>
      <w:sz w:val="34"/>
      <w:szCs w:val="20"/>
    </w:rPr>
  </w:style>
  <w:style w:type="paragraph" w:customStyle="1" w:styleId="584">
    <w:name w:val="UserStyle_305"/>
    <w:basedOn w:val="1"/>
    <w:qFormat/>
    <w:uiPriority w:val="0"/>
    <w:pPr>
      <w:widowControl/>
      <w:textAlignment w:val="baseline"/>
    </w:pPr>
  </w:style>
  <w:style w:type="paragraph" w:customStyle="1" w:styleId="585">
    <w:name w:val="UserStyle_182"/>
    <w:basedOn w:val="1"/>
    <w:qFormat/>
    <w:uiPriority w:val="0"/>
    <w:pPr>
      <w:widowControl/>
      <w:tabs>
        <w:tab w:val="left" w:pos="360"/>
      </w:tabs>
      <w:ind w:firstLine="420" w:firstLineChars="150"/>
      <w:textAlignment w:val="baseline"/>
    </w:pPr>
    <w:rPr>
      <w:rFonts w:ascii="Arial" w:hAnsi="Arial"/>
      <w:kern w:val="0"/>
      <w:sz w:val="20"/>
      <w:szCs w:val="20"/>
    </w:rPr>
  </w:style>
  <w:style w:type="paragraph" w:customStyle="1" w:styleId="586">
    <w:name w:val="UserStyle_43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587">
    <w:name w:val="TOC 标题1"/>
    <w:basedOn w:val="4"/>
    <w:next w:val="1"/>
    <w:qFormat/>
    <w:uiPriority w:val="0"/>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588">
    <w:name w:val="UserStyle_254"/>
    <w:basedOn w:val="1"/>
    <w:qFormat/>
    <w:uiPriority w:val="0"/>
    <w:pPr>
      <w:widowControl/>
      <w:textAlignment w:val="baseline"/>
    </w:pPr>
    <w:rPr>
      <w:rFonts w:ascii="宋体" w:hAnsi="Courier New"/>
      <w:kern w:val="0"/>
      <w:sz w:val="34"/>
      <w:szCs w:val="20"/>
    </w:rPr>
  </w:style>
  <w:style w:type="paragraph" w:customStyle="1" w:styleId="589">
    <w:name w:val="UserStyle_236"/>
    <w:qFormat/>
    <w:uiPriority w:val="0"/>
    <w:pPr>
      <w:textAlignment w:val="baseline"/>
    </w:pPr>
    <w:rPr>
      <w:rFonts w:ascii="楷体à.ā" w:hAnsi="Times New Roman" w:eastAsia="楷体à.ā" w:cs="Times New Roman"/>
      <w:color w:val="000000"/>
      <w:sz w:val="24"/>
      <w:lang w:val="en-US" w:eastAsia="zh-CN" w:bidi="ar-SA"/>
    </w:rPr>
  </w:style>
  <w:style w:type="paragraph" w:customStyle="1" w:styleId="590">
    <w:name w:val="UserStyle_381"/>
    <w:basedOn w:val="1"/>
    <w:uiPriority w:val="0"/>
    <w:pPr>
      <w:widowControl/>
      <w:spacing w:before="100" w:beforeAutospacing="1" w:after="100" w:afterAutospacing="1"/>
      <w:jc w:val="center"/>
      <w:textAlignment w:val="baseline"/>
    </w:pPr>
    <w:rPr>
      <w:rFonts w:ascii="宋体" w:hAnsi="宋体"/>
      <w:kern w:val="0"/>
      <w:sz w:val="34"/>
      <w:szCs w:val="20"/>
    </w:rPr>
  </w:style>
  <w:style w:type="paragraph" w:customStyle="1" w:styleId="591">
    <w:name w:val="UserStyle_243"/>
    <w:basedOn w:val="1"/>
    <w:qFormat/>
    <w:uiPriority w:val="0"/>
    <w:pPr>
      <w:widowControl/>
      <w:ind w:firstLine="420" w:firstLineChars="200"/>
      <w:textAlignment w:val="baseline"/>
    </w:pPr>
    <w:rPr>
      <w:szCs w:val="20"/>
    </w:rPr>
  </w:style>
  <w:style w:type="paragraph" w:customStyle="1" w:styleId="592">
    <w:name w:val="UserStyle_328"/>
    <w:basedOn w:val="1"/>
    <w:qFormat/>
    <w:uiPriority w:val="0"/>
    <w:pPr>
      <w:widowControl/>
      <w:ind w:firstLine="420"/>
      <w:textAlignment w:val="baseline"/>
    </w:pPr>
    <w:rPr>
      <w:rFonts w:ascii="宋体"/>
      <w:kern w:val="0"/>
      <w:szCs w:val="21"/>
    </w:rPr>
  </w:style>
  <w:style w:type="paragraph" w:customStyle="1" w:styleId="593">
    <w:name w:val="UserStyle_177"/>
    <w:basedOn w:val="1"/>
    <w:uiPriority w:val="0"/>
    <w:pPr>
      <w:widowControl/>
      <w:spacing w:before="60"/>
      <w:textAlignment w:val="baseline"/>
    </w:pPr>
    <w:rPr>
      <w:rFonts w:ascii="宋体"/>
      <w:kern w:val="0"/>
      <w:sz w:val="34"/>
      <w:szCs w:val="20"/>
    </w:rPr>
  </w:style>
  <w:style w:type="paragraph" w:customStyle="1" w:styleId="594">
    <w:name w:val="UserStyle_367"/>
    <w:qFormat/>
    <w:uiPriority w:val="0"/>
    <w:pPr>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595">
    <w:name w:val="UserStyle_338"/>
    <w:basedOn w:val="1"/>
    <w:uiPriority w:val="0"/>
    <w:pPr>
      <w:widowControl/>
      <w:pBdr>
        <w:top w:val="single" w:color="000000" w:sz="4" w:space="0"/>
        <w:left w:val="single" w:color="000000" w:sz="4" w:space="0"/>
        <w:bottom w:val="single" w:color="000000" w:sz="8" w:space="0"/>
        <w:right w:val="single" w:color="000000" w:sz="4" w:space="0"/>
      </w:pBdr>
      <w:spacing w:before="100" w:beforeAutospacing="1" w:after="100" w:afterAutospacing="1"/>
      <w:jc w:val="center"/>
      <w:textAlignment w:val="center"/>
    </w:pPr>
    <w:rPr>
      <w:rFonts w:ascii="宋体"/>
      <w:kern w:val="0"/>
      <w:sz w:val="34"/>
      <w:szCs w:val="21"/>
    </w:rPr>
  </w:style>
  <w:style w:type="paragraph" w:customStyle="1" w:styleId="596">
    <w:name w:val="UserStyle_1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宋体" w:hAnsi="宋体"/>
      <w:kern w:val="0"/>
      <w:sz w:val="34"/>
      <w:szCs w:val="20"/>
    </w:rPr>
  </w:style>
  <w:style w:type="paragraph" w:customStyle="1" w:styleId="597">
    <w:name w:val="UserStyle_2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ascii="宋体" w:hAnsi="宋体"/>
      <w:kern w:val="0"/>
      <w:sz w:val="20"/>
      <w:szCs w:val="20"/>
    </w:rPr>
  </w:style>
  <w:style w:type="paragraph" w:customStyle="1" w:styleId="598">
    <w:name w:val="UserStyle_25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baseline"/>
    </w:pPr>
    <w:rPr>
      <w:rFonts w:ascii="宋体" w:hAnsi="宋体" w:cs="宋体"/>
      <w:b/>
      <w:bCs/>
      <w:kern w:val="0"/>
      <w:sz w:val="32"/>
      <w:szCs w:val="32"/>
    </w:rPr>
  </w:style>
  <w:style w:type="paragraph" w:customStyle="1" w:styleId="599">
    <w:name w:val="UserStyle_406"/>
    <w:basedOn w:val="1"/>
    <w:qFormat/>
    <w:uiPriority w:val="0"/>
    <w:pPr>
      <w:widowControl/>
      <w:spacing w:before="120" w:line="400" w:lineRule="atLeast"/>
      <w:ind w:firstLine="576"/>
      <w:jc w:val="left"/>
      <w:textAlignment w:val="baseline"/>
    </w:pPr>
    <w:rPr>
      <w:rFonts w:ascii="宋体" w:eastAsia="楷体_GB2312"/>
      <w:kern w:val="0"/>
      <w:sz w:val="28"/>
      <w:szCs w:val="20"/>
    </w:rPr>
  </w:style>
  <w:style w:type="paragraph" w:customStyle="1" w:styleId="600">
    <w:name w:val="UserStyle_35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ascii="Arial Unicode MS" w:hAnsi="Arial Unicode MS" w:eastAsia="Arial Unicode MS" w:cs="Arial Unicode MS"/>
      <w:b/>
      <w:bCs/>
      <w:color w:val="000000"/>
      <w:kern w:val="0"/>
      <w:sz w:val="22"/>
      <w:szCs w:val="22"/>
    </w:rPr>
  </w:style>
  <w:style w:type="paragraph" w:customStyle="1" w:styleId="601">
    <w:name w:val="UserStyle_364"/>
    <w:basedOn w:val="1"/>
    <w:qFormat/>
    <w:uiPriority w:val="0"/>
    <w:pPr>
      <w:widowControl/>
      <w:spacing w:before="100" w:beforeAutospacing="1" w:after="100" w:afterAutospacing="1"/>
      <w:jc w:val="left"/>
      <w:textAlignment w:val="baseline"/>
    </w:pPr>
    <w:rPr>
      <w:rFonts w:ascii="宋体" w:hAnsi="宋体"/>
      <w:kern w:val="0"/>
      <w:sz w:val="20"/>
      <w:szCs w:val="20"/>
    </w:rPr>
  </w:style>
  <w:style w:type="paragraph" w:customStyle="1" w:styleId="602">
    <w:name w:val="UserStyle_297"/>
    <w:basedOn w:val="1"/>
    <w:qFormat/>
    <w:uiPriority w:val="0"/>
    <w:pPr>
      <w:widowControl/>
      <w:spacing w:line="300" w:lineRule="auto"/>
      <w:jc w:val="center"/>
      <w:textAlignment w:val="baseline"/>
    </w:pPr>
    <w:rPr>
      <w:rFonts w:ascii="宋体" w:hAnsi="宋体"/>
      <w:sz w:val="24"/>
      <w:szCs w:val="20"/>
    </w:rPr>
  </w:style>
  <w:style w:type="paragraph" w:customStyle="1" w:styleId="603">
    <w:name w:val="UserStyle_213"/>
    <w:basedOn w:val="1"/>
    <w:qFormat/>
    <w:uiPriority w:val="0"/>
    <w:pPr>
      <w:widowControl/>
      <w:textAlignment w:val="baseline"/>
    </w:pPr>
    <w:rPr>
      <w:rFonts w:ascii="仿宋_GB2312" w:eastAsia="仿宋_GB2312"/>
      <w:b/>
      <w:kern w:val="0"/>
      <w:sz w:val="32"/>
      <w:szCs w:val="32"/>
    </w:rPr>
  </w:style>
  <w:style w:type="paragraph" w:customStyle="1" w:styleId="604">
    <w:name w:val="UserStyle_432"/>
    <w:basedOn w:val="1"/>
    <w:qFormat/>
    <w:uiPriority w:val="0"/>
    <w:pPr>
      <w:widowControl/>
      <w:spacing w:line="360" w:lineRule="auto"/>
      <w:ind w:firstLine="200" w:firstLineChars="200"/>
      <w:textAlignment w:val="baseline"/>
    </w:pPr>
    <w:rPr>
      <w:rFonts w:ascii="宋体"/>
      <w:kern w:val="0"/>
      <w:sz w:val="34"/>
    </w:rPr>
  </w:style>
  <w:style w:type="paragraph" w:customStyle="1" w:styleId="605">
    <w:name w:val="UserStyle_313"/>
    <w:basedOn w:val="1"/>
    <w:qFormat/>
    <w:uiPriority w:val="0"/>
    <w:pPr>
      <w:widowControl/>
      <w:spacing w:line="360" w:lineRule="atLeast"/>
      <w:ind w:firstLine="460"/>
      <w:textAlignment w:val="baseline"/>
    </w:pPr>
    <w:rPr>
      <w:rFonts w:ascii="宋体" w:hAnsi="宋体"/>
      <w:kern w:val="0"/>
      <w:sz w:val="34"/>
      <w:szCs w:val="20"/>
    </w:rPr>
  </w:style>
  <w:style w:type="paragraph" w:customStyle="1" w:styleId="606">
    <w:name w:val="UserStyle_230"/>
    <w:basedOn w:val="1"/>
    <w:qFormat/>
    <w:uiPriority w:val="0"/>
    <w:pPr>
      <w:widowControl/>
      <w:spacing w:before="100" w:beforeAutospacing="1" w:after="100" w:afterAutospacing="1"/>
      <w:jc w:val="left"/>
      <w:textAlignment w:val="baseline"/>
    </w:pPr>
    <w:rPr>
      <w:rFonts w:ascii="宋体" w:hAnsi="宋体"/>
      <w:kern w:val="0"/>
      <w:szCs w:val="21"/>
    </w:rPr>
  </w:style>
  <w:style w:type="paragraph" w:customStyle="1" w:styleId="607">
    <w:name w:val="UserStyle_181"/>
    <w:basedOn w:val="1"/>
    <w:qFormat/>
    <w:uiPriority w:val="0"/>
    <w:pPr>
      <w:widowControl/>
      <w:spacing w:before="100" w:beforeAutospacing="1" w:after="100" w:afterAutospacing="1" w:line="360" w:lineRule="auto"/>
      <w:jc w:val="left"/>
      <w:textAlignment w:val="baseline"/>
    </w:pPr>
    <w:rPr>
      <w:rFonts w:ascii="Verdana" w:hAnsi="Verdana"/>
      <w:kern w:val="0"/>
      <w:sz w:val="20"/>
      <w:szCs w:val="21"/>
      <w:lang w:eastAsia="en-US"/>
    </w:rPr>
  </w:style>
  <w:style w:type="paragraph" w:customStyle="1" w:styleId="608">
    <w:name w:val="UserStyle_388"/>
    <w:basedOn w:val="1"/>
    <w:qFormat/>
    <w:uiPriority w:val="0"/>
    <w:pPr>
      <w:widowControl/>
      <w:spacing w:line="360" w:lineRule="auto"/>
      <w:ind w:firstLine="420"/>
      <w:textAlignment w:val="baseline"/>
    </w:pPr>
    <w:rPr>
      <w:kern w:val="0"/>
      <w:szCs w:val="21"/>
    </w:rPr>
  </w:style>
  <w:style w:type="paragraph" w:customStyle="1" w:styleId="609">
    <w:name w:val="UserStyle_226"/>
    <w:basedOn w:val="1"/>
    <w:qFormat/>
    <w:uiPriority w:val="0"/>
    <w:pPr>
      <w:widowControl/>
      <w:spacing w:line="360" w:lineRule="auto"/>
      <w:ind w:firstLine="420"/>
      <w:textAlignment w:val="baseline"/>
    </w:pPr>
    <w:rPr>
      <w:rFonts w:ascii="宋体"/>
      <w:sz w:val="34"/>
      <w:szCs w:val="20"/>
    </w:rPr>
  </w:style>
  <w:style w:type="paragraph" w:customStyle="1" w:styleId="610">
    <w:name w:val="UserStyle_410"/>
    <w:basedOn w:val="1"/>
    <w:qFormat/>
    <w:uiPriority w:val="0"/>
    <w:pPr>
      <w:widowControl/>
      <w:spacing w:before="60" w:after="60"/>
      <w:jc w:val="left"/>
      <w:textAlignment w:val="baseline"/>
    </w:pPr>
    <w:rPr>
      <w:rFonts w:ascii="宋体"/>
      <w:kern w:val="0"/>
      <w:sz w:val="34"/>
    </w:rPr>
  </w:style>
  <w:style w:type="paragraph" w:customStyle="1" w:styleId="611">
    <w:name w:val="UserStyle_358"/>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baseline"/>
    </w:pPr>
    <w:rPr>
      <w:rFonts w:ascii="宋体" w:hAnsi="宋体"/>
      <w:kern w:val="0"/>
      <w:sz w:val="20"/>
      <w:szCs w:val="20"/>
    </w:rPr>
  </w:style>
  <w:style w:type="paragraph" w:customStyle="1" w:styleId="612">
    <w:name w:val="reader-word-layer"/>
    <w:basedOn w:val="1"/>
    <w:uiPriority w:val="0"/>
    <w:pPr>
      <w:widowControl/>
      <w:spacing w:before="100" w:beforeAutospacing="1" w:after="100" w:afterAutospacing="1"/>
      <w:jc w:val="left"/>
    </w:pPr>
    <w:rPr>
      <w:rFonts w:ascii="宋体" w:hAnsi="宋体" w:cs="宋体"/>
      <w:kern w:val="0"/>
      <w:sz w:val="24"/>
    </w:rPr>
  </w:style>
  <w:style w:type="paragraph" w:customStyle="1" w:styleId="613">
    <w:name w:val="TOC4"/>
    <w:basedOn w:val="1"/>
    <w:next w:val="1"/>
    <w:qFormat/>
    <w:uiPriority w:val="0"/>
    <w:pPr>
      <w:widowControl/>
      <w:ind w:left="1260" w:leftChars="600"/>
      <w:textAlignment w:val="baseline"/>
    </w:pPr>
    <w:rPr>
      <w:rFonts w:ascii="宋体"/>
      <w:kern w:val="0"/>
      <w:sz w:val="34"/>
    </w:rPr>
  </w:style>
  <w:style w:type="paragraph" w:customStyle="1" w:styleId="614">
    <w:name w:val="UserStyle_311"/>
    <w:basedOn w:val="1"/>
    <w:qFormat/>
    <w:uiPriority w:val="0"/>
    <w:pPr>
      <w:widowControl/>
      <w:textAlignment w:val="baseline"/>
    </w:pPr>
  </w:style>
  <w:style w:type="paragraph" w:customStyle="1" w:styleId="615">
    <w:name w:val="UserStyle_235"/>
    <w:basedOn w:val="94"/>
    <w:qFormat/>
    <w:uiPriority w:val="0"/>
  </w:style>
  <w:style w:type="paragraph" w:customStyle="1" w:styleId="616">
    <w:name w:val="UserStyle_412"/>
    <w:basedOn w:val="1"/>
    <w:uiPriority w:val="0"/>
    <w:pPr>
      <w:widowControl/>
      <w:textAlignment w:val="baseline"/>
    </w:pPr>
  </w:style>
  <w:style w:type="paragraph" w:customStyle="1" w:styleId="617">
    <w:name w:val="UserStyle_318"/>
    <w:basedOn w:val="118"/>
    <w:uiPriority w:val="0"/>
    <w:pPr>
      <w:spacing w:before="120"/>
      <w:ind w:left="420" w:firstLine="425"/>
    </w:pPr>
    <w:rPr>
      <w:rFonts w:ascii="Arial" w:hAnsi="Arial"/>
      <w:sz w:val="24"/>
    </w:rPr>
  </w:style>
  <w:style w:type="paragraph" w:customStyle="1" w:styleId="618">
    <w:name w:val="UserStyle_423"/>
    <w:basedOn w:val="1"/>
    <w:qFormat/>
    <w:uiPriority w:val="0"/>
    <w:pPr>
      <w:widowControl/>
      <w:pBdr>
        <w:left w:val="single" w:color="000000" w:sz="8" w:space="0"/>
        <w:bottom w:val="single" w:color="000000" w:sz="8" w:space="0"/>
        <w:right w:val="single" w:color="000000" w:sz="4" w:space="0"/>
      </w:pBdr>
      <w:spacing w:before="100" w:beforeAutospacing="1" w:after="100" w:afterAutospacing="1"/>
      <w:jc w:val="center"/>
      <w:textAlignment w:val="center"/>
    </w:pPr>
    <w:rPr>
      <w:rFonts w:ascii="宋体" w:hAnsi="宋体"/>
      <w:kern w:val="0"/>
      <w:sz w:val="34"/>
      <w:szCs w:val="21"/>
    </w:rPr>
  </w:style>
  <w:style w:type="paragraph" w:customStyle="1" w:styleId="619">
    <w:name w:val="UserStyle_447"/>
    <w:qFormat/>
    <w:uiPriority w:val="0"/>
    <w:pPr>
      <w:ind w:firstLine="420" w:firstLineChars="200"/>
      <w:textAlignment w:val="baseline"/>
    </w:pPr>
    <w:rPr>
      <w:rFonts w:ascii="Times New Roman" w:hAnsi="Times New Roman" w:eastAsia="宋体" w:cs="Times New Roman"/>
      <w:lang w:val="en-US" w:eastAsia="zh-CN" w:bidi="ar-SA"/>
    </w:rPr>
  </w:style>
  <w:style w:type="paragraph" w:customStyle="1" w:styleId="620">
    <w:name w:val="UserStyle_28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kern w:val="0"/>
      <w:sz w:val="20"/>
      <w:szCs w:val="20"/>
    </w:rPr>
  </w:style>
  <w:style w:type="paragraph" w:customStyle="1" w:styleId="621">
    <w:name w:val="TOC2"/>
    <w:basedOn w:val="1"/>
    <w:next w:val="1"/>
    <w:qFormat/>
    <w:uiPriority w:val="0"/>
    <w:pPr>
      <w:widowControl/>
      <w:ind w:left="210"/>
      <w:jc w:val="left"/>
      <w:textAlignment w:val="baseline"/>
    </w:pPr>
    <w:rPr>
      <w:rFonts w:ascii="宋体"/>
      <w:smallCaps/>
      <w:kern w:val="0"/>
      <w:sz w:val="20"/>
      <w:szCs w:val="20"/>
    </w:rPr>
  </w:style>
  <w:style w:type="paragraph" w:customStyle="1" w:styleId="622">
    <w:name w:val="UserStyle_276"/>
    <w:basedOn w:val="318"/>
    <w:qFormat/>
    <w:uiPriority w:val="0"/>
    <w:pPr>
      <w:shd w:val="clear" w:color="auto" w:fill="000080"/>
    </w:pPr>
    <w:rPr>
      <w:rFonts w:ascii="Times New Roman" w:eastAsia="仿宋_GB2312"/>
      <w:sz w:val="32"/>
      <w:szCs w:val="24"/>
    </w:rPr>
  </w:style>
  <w:style w:type="paragraph" w:customStyle="1" w:styleId="623">
    <w:name w:val="UserStyle_290"/>
    <w:basedOn w:val="1"/>
    <w:qFormat/>
    <w:uiPriority w:val="0"/>
    <w:pPr>
      <w:widowControl/>
      <w:textAlignment w:val="baseline"/>
    </w:pPr>
    <w:rPr>
      <w:rFonts w:ascii="Tahoma" w:hAnsi="Tahoma"/>
      <w:kern w:val="0"/>
      <w:sz w:val="24"/>
      <w:szCs w:val="20"/>
    </w:rPr>
  </w:style>
  <w:style w:type="paragraph" w:customStyle="1" w:styleId="624">
    <w:name w:val="UserStyle_342"/>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baseline"/>
    </w:pPr>
    <w:rPr>
      <w:rFonts w:ascii="宋体" w:hAnsi="宋体"/>
      <w:kern w:val="0"/>
      <w:sz w:val="34"/>
      <w:szCs w:val="20"/>
    </w:rPr>
  </w:style>
  <w:style w:type="paragraph" w:customStyle="1" w:styleId="625">
    <w:name w:val="UserStyle_34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626">
    <w:name w:val="UserStyle_179"/>
    <w:uiPriority w:val="0"/>
    <w:pPr>
      <w:jc w:val="both"/>
      <w:textAlignment w:val="baseline"/>
    </w:pPr>
    <w:rPr>
      <w:rFonts w:ascii="Arial Unicode MS" w:hAnsi="Arial Unicode MS" w:eastAsia="Arial Unicode MS" w:cs="Times New Roman"/>
      <w:color w:val="000000"/>
      <w:kern w:val="2"/>
      <w:sz w:val="21"/>
      <w:szCs w:val="21"/>
      <w:lang w:val="en-US" w:eastAsia="zh-CN" w:bidi="ar-SA"/>
    </w:rPr>
  </w:style>
  <w:style w:type="paragraph" w:customStyle="1" w:styleId="627">
    <w:name w:val="UserStyle_188"/>
    <w:basedOn w:val="1"/>
    <w:qFormat/>
    <w:uiPriority w:val="0"/>
    <w:pPr>
      <w:widowControl/>
      <w:spacing w:before="100" w:beforeAutospacing="1" w:after="100" w:afterAutospacing="1" w:line="288" w:lineRule="auto"/>
      <w:jc w:val="left"/>
      <w:textAlignment w:val="baseline"/>
    </w:pPr>
    <w:rPr>
      <w:rFonts w:ascii="宋体" w:hAnsi="宋体"/>
      <w:kern w:val="0"/>
      <w:sz w:val="34"/>
      <w:szCs w:val="21"/>
    </w:rPr>
  </w:style>
  <w:style w:type="paragraph" w:customStyle="1" w:styleId="628">
    <w:name w:val="Char1 Char Char Char Char Char Char"/>
    <w:basedOn w:val="1"/>
    <w:uiPriority w:val="0"/>
    <w:pPr>
      <w:spacing w:line="240" w:lineRule="atLeast"/>
      <w:ind w:left="420" w:firstLine="420"/>
    </w:pPr>
  </w:style>
  <w:style w:type="paragraph" w:customStyle="1" w:styleId="629">
    <w:name w:val="UserStyle_3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ascii="Arial" w:hAnsi="Arial"/>
      <w:kern w:val="0"/>
      <w:sz w:val="20"/>
      <w:szCs w:val="20"/>
    </w:rPr>
  </w:style>
  <w:style w:type="paragraph" w:customStyle="1" w:styleId="630">
    <w:name w:val="UserStyle_310"/>
    <w:basedOn w:val="1"/>
    <w:next w:val="279"/>
    <w:uiPriority w:val="0"/>
    <w:pPr>
      <w:widowControl/>
      <w:numPr>
        <w:ilvl w:val="0"/>
        <w:numId w:val="8"/>
      </w:numPr>
      <w:tabs>
        <w:tab w:val="clear" w:pos="6271"/>
      </w:tabs>
      <w:ind w:left="0" w:firstLine="0"/>
    </w:pPr>
    <w:rPr>
      <w:rFonts w:ascii="宋体" w:hAnsi="Courier New"/>
      <w:kern w:val="0"/>
      <w:sz w:val="34"/>
      <w:szCs w:val="21"/>
    </w:rPr>
  </w:style>
  <w:style w:type="paragraph" w:customStyle="1" w:styleId="631">
    <w:name w:val="UserStyle_239"/>
    <w:basedOn w:val="1"/>
    <w:qFormat/>
    <w:uiPriority w:val="0"/>
    <w:pPr>
      <w:widowControl/>
      <w:textAlignment w:val="baseline"/>
    </w:pPr>
    <w:rPr>
      <w:rFonts w:ascii="仿宋_GB2312"/>
      <w:b/>
      <w:sz w:val="30"/>
      <w:szCs w:val="20"/>
    </w:rPr>
  </w:style>
  <w:style w:type="paragraph" w:customStyle="1" w:styleId="632">
    <w:name w:val="Char Char Char Char"/>
    <w:basedOn w:val="1"/>
    <w:uiPriority w:val="0"/>
    <w:pPr>
      <w:widowControl/>
      <w:spacing w:before="100" w:beforeAutospacing="1" w:after="100" w:afterAutospacing="1" w:line="360" w:lineRule="auto"/>
      <w:jc w:val="left"/>
    </w:pPr>
  </w:style>
  <w:style w:type="paragraph" w:customStyle="1" w:styleId="633">
    <w:name w:val="UserStyle_3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ascii="宋体" w:hAnsi="宋体"/>
      <w:kern w:val="0"/>
      <w:sz w:val="34"/>
      <w:szCs w:val="20"/>
    </w:rPr>
  </w:style>
  <w:style w:type="paragraph" w:customStyle="1" w:styleId="634">
    <w:name w:val="UserStyle_2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ascii="宋体" w:hAnsi="宋体"/>
      <w:kern w:val="0"/>
      <w:sz w:val="34"/>
      <w:szCs w:val="20"/>
    </w:rPr>
  </w:style>
  <w:style w:type="paragraph" w:customStyle="1" w:styleId="63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36">
    <w:name w:val="TOC7"/>
    <w:basedOn w:val="1"/>
    <w:next w:val="1"/>
    <w:qFormat/>
    <w:uiPriority w:val="0"/>
    <w:pPr>
      <w:widowControl/>
      <w:ind w:left="2520" w:leftChars="1200"/>
      <w:textAlignment w:val="baseline"/>
    </w:pPr>
    <w:rPr>
      <w:rFonts w:ascii="宋体"/>
      <w:kern w:val="0"/>
      <w:sz w:val="34"/>
    </w:rPr>
  </w:style>
  <w:style w:type="paragraph" w:customStyle="1" w:styleId="637">
    <w:name w:val="UserStyle_371"/>
    <w:basedOn w:val="1"/>
    <w:uiPriority w:val="0"/>
    <w:pPr>
      <w:widowControl/>
      <w:textAlignment w:val="baseline"/>
    </w:pPr>
  </w:style>
  <w:style w:type="paragraph" w:customStyle="1" w:styleId="638">
    <w:name w:val="UserStyle_240"/>
    <w:basedOn w:val="126"/>
    <w:qFormat/>
    <w:uiPriority w:val="0"/>
    <w:pPr>
      <w:numPr>
        <w:ilvl w:val="5"/>
        <w:numId w:val="4"/>
      </w:numPr>
    </w:pPr>
  </w:style>
  <w:style w:type="paragraph" w:customStyle="1" w:styleId="639">
    <w:name w:val="UserStyle_349"/>
    <w:basedOn w:val="1"/>
    <w:qFormat/>
    <w:uiPriority w:val="0"/>
    <w:pPr>
      <w:widowControl/>
      <w:spacing w:before="136" w:after="136"/>
      <w:jc w:val="left"/>
      <w:textAlignment w:val="baseline"/>
    </w:pPr>
    <w:rPr>
      <w:rFonts w:ascii="宋体" w:hAnsi="宋体"/>
      <w:kern w:val="0"/>
      <w:sz w:val="24"/>
    </w:rPr>
  </w:style>
  <w:style w:type="paragraph" w:customStyle="1" w:styleId="640">
    <w:name w:val="UserStyle_1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宋体" w:hAnsi="宋体"/>
      <w:kern w:val="0"/>
      <w:sz w:val="20"/>
      <w:szCs w:val="20"/>
    </w:rPr>
  </w:style>
  <w:style w:type="paragraph" w:customStyle="1" w:styleId="641">
    <w:name w:val="Char Char Char Char Char Char Char Char Char Char Char Char Char"/>
    <w:basedOn w:val="1"/>
    <w:uiPriority w:val="0"/>
    <w:pPr>
      <w:widowControl/>
      <w:tabs>
        <w:tab w:val="left" w:pos="750"/>
        <w:tab w:val="left" w:pos="5040"/>
      </w:tabs>
      <w:ind w:left="5040" w:hanging="1440"/>
      <w:jc w:val="left"/>
    </w:pPr>
    <w:rPr>
      <w:szCs w:val="21"/>
    </w:rPr>
  </w:style>
  <w:style w:type="paragraph" w:customStyle="1" w:styleId="642">
    <w:name w:val="UserStyle_362"/>
    <w:basedOn w:val="1"/>
    <w:uiPriority w:val="0"/>
    <w:pPr>
      <w:widowControl/>
      <w:textAlignment w:val="baseline"/>
    </w:pPr>
    <w:rPr>
      <w:rFonts w:ascii="宋体"/>
      <w:kern w:val="0"/>
      <w:sz w:val="34"/>
    </w:rPr>
  </w:style>
  <w:style w:type="paragraph" w:customStyle="1" w:styleId="643">
    <w:name w:val="UserStyle_2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宋体" w:hAnsi="宋体" w:cs="宋体"/>
      <w:b/>
      <w:bCs/>
      <w:kern w:val="0"/>
      <w:sz w:val="34"/>
      <w:szCs w:val="20"/>
    </w:rPr>
  </w:style>
  <w:style w:type="paragraph" w:customStyle="1" w:styleId="644">
    <w:name w:val="CD正文"/>
    <w:basedOn w:val="1"/>
    <w:qFormat/>
    <w:uiPriority w:val="0"/>
    <w:pPr>
      <w:spacing w:line="360" w:lineRule="auto"/>
      <w:ind w:firstLine="493"/>
    </w:pPr>
    <w:rPr>
      <w:rFonts w:ascii="Calibri" w:hAnsi="Calibri" w:eastAsia="仿宋_GB2312"/>
      <w:kern w:val="0"/>
      <w:sz w:val="28"/>
      <w:szCs w:val="28"/>
    </w:rPr>
  </w:style>
  <w:style w:type="paragraph" w:customStyle="1" w:styleId="645">
    <w:name w:val="UserStyle_255"/>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646">
    <w:name w:val="UserStyle_283"/>
    <w:basedOn w:val="1"/>
    <w:qFormat/>
    <w:uiPriority w:val="0"/>
    <w:pPr>
      <w:widowControl/>
      <w:textAlignment w:val="baseline"/>
    </w:pPr>
    <w:rPr>
      <w:rFonts w:ascii="宋体"/>
      <w:szCs w:val="20"/>
    </w:rPr>
  </w:style>
  <w:style w:type="paragraph" w:customStyle="1" w:styleId="647">
    <w:name w:val="样式 标题 2 + Times New Roman 四号 非加粗 段前: 5 磅 段后: 0 磅 行距: 固定值 20..."/>
    <w:basedOn w:val="5"/>
    <w:next w:val="1"/>
    <w:uiPriority w:val="0"/>
    <w:pPr>
      <w:spacing w:before="100" w:after="0" w:line="400" w:lineRule="exact"/>
    </w:pPr>
    <w:rPr>
      <w:rFonts w:ascii="Times New Roman" w:hAnsi="Times New Roman" w:cs="宋体"/>
      <w:b w:val="0"/>
      <w:bCs w:val="0"/>
      <w:kern w:val="0"/>
      <w:sz w:val="28"/>
      <w:szCs w:val="20"/>
    </w:rPr>
  </w:style>
  <w:style w:type="paragraph" w:customStyle="1" w:styleId="648">
    <w:name w:val="UserStyle_221"/>
    <w:basedOn w:val="1"/>
    <w:qFormat/>
    <w:uiPriority w:val="0"/>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jc w:val="left"/>
      <w:textAlignment w:val="baseline"/>
    </w:pPr>
    <w:rPr>
      <w:rFonts w:ascii="Courier New" w:hAnsi="Courier New"/>
      <w:kern w:val="0"/>
      <w:sz w:val="20"/>
      <w:szCs w:val="20"/>
    </w:rPr>
  </w:style>
  <w:style w:type="paragraph" w:customStyle="1" w:styleId="649">
    <w:name w:val="UserStyle_384"/>
    <w:basedOn w:val="279"/>
    <w:qFormat/>
    <w:uiPriority w:val="0"/>
    <w:pPr>
      <w:spacing w:line="240" w:lineRule="atLeast"/>
    </w:pPr>
    <w:rPr>
      <w:sz w:val="28"/>
    </w:rPr>
  </w:style>
  <w:style w:type="paragraph" w:customStyle="1" w:styleId="650">
    <w:name w:val="UserStyle_215"/>
    <w:basedOn w:val="1"/>
    <w:qFormat/>
    <w:uiPriority w:val="0"/>
    <w:pPr>
      <w:widowControl/>
      <w:tabs>
        <w:tab w:val="left" w:pos="360"/>
        <w:tab w:val="left" w:pos="540"/>
        <w:tab w:val="left" w:pos="1050"/>
      </w:tabs>
      <w:spacing w:after="120" w:line="360" w:lineRule="auto"/>
      <w:ind w:left="1050" w:hanging="450"/>
      <w:textAlignment w:val="baseline"/>
    </w:pPr>
    <w:rPr>
      <w:rFonts w:ascii="宋体" w:hAnsi="Arial"/>
      <w:kern w:val="0"/>
      <w:sz w:val="34"/>
      <w:szCs w:val="20"/>
    </w:rPr>
  </w:style>
  <w:style w:type="paragraph" w:customStyle="1" w:styleId="651">
    <w:name w:val="UserStyle_198"/>
    <w:basedOn w:val="1"/>
    <w:qFormat/>
    <w:uiPriority w:val="0"/>
    <w:pPr>
      <w:widowControl/>
      <w:textAlignment w:val="baseline"/>
    </w:pPr>
    <w:rPr>
      <w:szCs w:val="20"/>
    </w:rPr>
  </w:style>
  <w:style w:type="paragraph" w:customStyle="1" w:styleId="652">
    <w:name w:val="UserStyle_207"/>
    <w:basedOn w:val="1"/>
    <w:qFormat/>
    <w:uiPriority w:val="0"/>
    <w:pPr>
      <w:widowControl/>
      <w:spacing w:after="160" w:line="240" w:lineRule="exact"/>
      <w:jc w:val="left"/>
      <w:textAlignment w:val="baseline"/>
    </w:pPr>
    <w:rPr>
      <w:rFonts w:ascii="Verdana" w:hAnsi="Verdana"/>
      <w:kern w:val="0"/>
      <w:sz w:val="20"/>
      <w:szCs w:val="20"/>
      <w:lang w:eastAsia="en-US"/>
    </w:rPr>
  </w:style>
  <w:style w:type="paragraph" w:customStyle="1" w:styleId="653">
    <w:name w:val="UserStyle_36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ascii="Arial Unicode MS" w:hAnsi="Arial Unicode MS" w:eastAsia="Arial Unicode MS"/>
      <w:color w:val="000000"/>
      <w:kern w:val="0"/>
      <w:sz w:val="20"/>
      <w:szCs w:val="20"/>
    </w:rPr>
  </w:style>
  <w:style w:type="paragraph" w:customStyle="1" w:styleId="654">
    <w:name w:val="UserStyle_178"/>
    <w:basedOn w:val="1"/>
    <w:qFormat/>
    <w:uiPriority w:val="0"/>
    <w:pPr>
      <w:widowControl/>
      <w:pBdr>
        <w:top w:val="single" w:color="000000" w:sz="8"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kern w:val="0"/>
      <w:sz w:val="34"/>
      <w:szCs w:val="21"/>
    </w:rPr>
  </w:style>
  <w:style w:type="paragraph" w:customStyle="1" w:styleId="655">
    <w:name w:val="UserStyle_319"/>
    <w:basedOn w:val="1"/>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left"/>
      <w:textAlignment w:val="top"/>
    </w:pPr>
    <w:rPr>
      <w:rFonts w:ascii="宋体"/>
      <w:color w:val="FFFFFF"/>
      <w:kern w:val="0"/>
      <w:sz w:val="34"/>
      <w:szCs w:val="21"/>
    </w:rPr>
  </w:style>
  <w:style w:type="table" w:customStyle="1" w:styleId="656">
    <w:name w:val="TableNormal"/>
    <w:qFormat/>
    <w:uiPriority w:val="0"/>
    <w:tblPr>
      <w:tblCellMar>
        <w:top w:w="0" w:type="dxa"/>
        <w:left w:w="0" w:type="dxa"/>
        <w:bottom w:w="0" w:type="dxa"/>
        <w:right w:w="0" w:type="dxa"/>
      </w:tblCellMar>
    </w:tblPr>
  </w:style>
  <w:style w:type="table" w:customStyle="1" w:styleId="657">
    <w:name w:val="UserStyle_448"/>
    <w:basedOn w:val="656"/>
    <w:qFormat/>
    <w:uiPriority w:val="0"/>
  </w:style>
  <w:style w:type="table" w:customStyle="1" w:styleId="658">
    <w:name w:val="TableGrid"/>
    <w:basedOn w:val="656"/>
    <w:qFormat/>
    <w:uiPriority w:val="0"/>
  </w:style>
  <w:style w:type="table" w:customStyle="1" w:styleId="659">
    <w:name w:val="UserStyle_449"/>
    <w:basedOn w:val="656"/>
    <w:qFormat/>
    <w:uiPriority w:val="0"/>
  </w:style>
  <w:style w:type="character" w:customStyle="1" w:styleId="660">
    <w:name w:val="未处理的提及1"/>
    <w:semiHidden/>
    <w:unhideWhenUsed/>
    <w:uiPriority w:val="99"/>
    <w:rPr>
      <w:color w:val="605E5C"/>
      <w:shd w:val="clear" w:color="auto" w:fill="E1DFDD"/>
    </w:rPr>
  </w:style>
  <w:style w:type="paragraph" w:customStyle="1" w:styleId="661">
    <w:name w:val="15、“一、”二级标题"/>
    <w:basedOn w:val="1"/>
    <w:qFormat/>
    <w:uiPriority w:val="0"/>
    <w:pPr>
      <w:numPr>
        <w:ilvl w:val="1"/>
        <w:numId w:val="9"/>
      </w:numPr>
      <w:tabs>
        <w:tab w:val="left" w:pos="0"/>
      </w:tabs>
      <w:wordWrap w:val="0"/>
      <w:topLinePunct/>
      <w:adjustRightInd w:val="0"/>
      <w:snapToGrid w:val="0"/>
      <w:spacing w:line="440" w:lineRule="exact"/>
      <w:ind w:left="840" w:firstLine="803" w:firstLineChars="200"/>
      <w:jc w:val="left"/>
      <w:outlineLvl w:val="1"/>
    </w:pPr>
    <w:rPr>
      <w:rFonts w:ascii="宋体" w:hAnsi="宋体"/>
      <w:b/>
      <w:sz w:val="24"/>
    </w:rPr>
  </w:style>
  <w:style w:type="paragraph" w:customStyle="1" w:styleId="662">
    <w:name w:val="14、“第一章”一级标题"/>
    <w:basedOn w:val="663"/>
    <w:qFormat/>
    <w:uiPriority w:val="0"/>
    <w:pPr>
      <w:numPr>
        <w:ilvl w:val="0"/>
        <w:numId w:val="9"/>
      </w:numPr>
      <w:tabs>
        <w:tab w:val="left" w:pos="0"/>
        <w:tab w:val="clear" w:pos="3120"/>
      </w:tabs>
      <w:spacing w:before="50" w:beforeLines="50" w:after="50" w:afterLines="50" w:line="240" w:lineRule="auto"/>
      <w:ind w:left="0" w:hanging="360"/>
      <w:jc w:val="center"/>
      <w:outlineLvl w:val="0"/>
    </w:pPr>
    <w:rPr>
      <w:b/>
      <w:sz w:val="36"/>
    </w:rPr>
  </w:style>
  <w:style w:type="paragraph" w:customStyle="1" w:styleId="663">
    <w:name w:val="01、普通正文"/>
    <w:basedOn w:val="1"/>
    <w:link w:val="668"/>
    <w:qFormat/>
    <w:uiPriority w:val="0"/>
    <w:pPr>
      <w:tabs>
        <w:tab w:val="left" w:pos="0"/>
      </w:tabs>
      <w:wordWrap w:val="0"/>
      <w:topLinePunct/>
      <w:adjustRightInd w:val="0"/>
      <w:snapToGrid w:val="0"/>
      <w:spacing w:line="440" w:lineRule="exact"/>
      <w:jc w:val="left"/>
    </w:pPr>
    <w:rPr>
      <w:rFonts w:ascii="宋体" w:hAnsi="宋体"/>
      <w:snapToGrid w:val="0"/>
      <w:sz w:val="24"/>
    </w:rPr>
  </w:style>
  <w:style w:type="paragraph" w:customStyle="1" w:styleId="664">
    <w:name w:val="16、“(一)”三级标题"/>
    <w:basedOn w:val="663"/>
    <w:link w:val="674"/>
    <w:qFormat/>
    <w:uiPriority w:val="0"/>
    <w:pPr>
      <w:numPr>
        <w:ilvl w:val="2"/>
        <w:numId w:val="9"/>
      </w:numPr>
      <w:ind w:left="1260" w:firstLine="803" w:firstLineChars="200"/>
      <w:outlineLvl w:val="2"/>
    </w:pPr>
    <w:rPr>
      <w:b/>
    </w:rPr>
  </w:style>
  <w:style w:type="paragraph" w:customStyle="1" w:styleId="665">
    <w:name w:val="17“1.”四级标题"/>
    <w:basedOn w:val="1"/>
    <w:qFormat/>
    <w:uiPriority w:val="0"/>
    <w:pPr>
      <w:numPr>
        <w:ilvl w:val="3"/>
        <w:numId w:val="9"/>
      </w:numPr>
      <w:wordWrap w:val="0"/>
      <w:topLinePunct/>
      <w:adjustRightInd w:val="0"/>
      <w:snapToGrid w:val="0"/>
      <w:spacing w:line="440" w:lineRule="exact"/>
      <w:jc w:val="left"/>
    </w:pPr>
    <w:rPr>
      <w:rFonts w:ascii="宋体" w:hAnsi="宋体"/>
      <w:sz w:val="24"/>
    </w:rPr>
  </w:style>
  <w:style w:type="paragraph" w:customStyle="1" w:styleId="666">
    <w:name w:val="18、“1.1”五级标题"/>
    <w:basedOn w:val="665"/>
    <w:qFormat/>
    <w:uiPriority w:val="0"/>
    <w:pPr>
      <w:numPr>
        <w:ilvl w:val="4"/>
      </w:numPr>
      <w:ind w:left="2100" w:firstLine="803"/>
    </w:pPr>
  </w:style>
  <w:style w:type="paragraph" w:customStyle="1" w:styleId="667">
    <w:name w:val="19、“(1)”六级标题"/>
    <w:basedOn w:val="665"/>
    <w:qFormat/>
    <w:uiPriority w:val="0"/>
    <w:pPr>
      <w:numPr>
        <w:ilvl w:val="5"/>
      </w:numPr>
      <w:ind w:left="2520" w:firstLine="803"/>
    </w:pPr>
  </w:style>
  <w:style w:type="character" w:customStyle="1" w:styleId="668">
    <w:name w:val="01、普通正文 Char"/>
    <w:link w:val="663"/>
    <w:qFormat/>
    <w:uiPriority w:val="0"/>
    <w:rPr>
      <w:rFonts w:ascii="宋体" w:hAnsi="宋体"/>
      <w:snapToGrid w:val="0"/>
      <w:kern w:val="2"/>
      <w:sz w:val="24"/>
      <w:szCs w:val="24"/>
    </w:rPr>
  </w:style>
  <w:style w:type="paragraph" w:customStyle="1" w:styleId="669">
    <w:name w:val="05、“(一)”正文三级标题"/>
    <w:basedOn w:val="1"/>
    <w:link w:val="681"/>
    <w:uiPriority w:val="0"/>
    <w:pPr>
      <w:tabs>
        <w:tab w:val="left" w:pos="0"/>
      </w:tabs>
      <w:wordWrap w:val="0"/>
      <w:topLinePunct/>
      <w:adjustRightInd w:val="0"/>
      <w:snapToGrid w:val="0"/>
      <w:spacing w:line="440" w:lineRule="exact"/>
      <w:ind w:left="794" w:firstLine="803" w:firstLineChars="200"/>
      <w:jc w:val="left"/>
    </w:pPr>
    <w:rPr>
      <w:rFonts w:ascii="宋体" w:hAnsi="宋体"/>
      <w:sz w:val="24"/>
    </w:rPr>
  </w:style>
  <w:style w:type="paragraph" w:customStyle="1" w:styleId="670">
    <w:name w:val="06、“1.”正文四级标题"/>
    <w:basedOn w:val="1"/>
    <w:link w:val="682"/>
    <w:uiPriority w:val="0"/>
    <w:pPr>
      <w:tabs>
        <w:tab w:val="left" w:pos="0"/>
        <w:tab w:val="left" w:pos="360"/>
      </w:tabs>
      <w:wordWrap w:val="0"/>
      <w:topLinePunct/>
      <w:adjustRightInd w:val="0"/>
      <w:snapToGrid w:val="0"/>
      <w:spacing w:line="440" w:lineRule="exact"/>
      <w:ind w:firstLine="803" w:firstLineChars="200"/>
      <w:jc w:val="left"/>
    </w:pPr>
    <w:rPr>
      <w:rFonts w:ascii="宋体" w:hAnsi="宋体"/>
      <w:snapToGrid w:val="0"/>
      <w:sz w:val="24"/>
    </w:rPr>
  </w:style>
  <w:style w:type="paragraph" w:customStyle="1" w:styleId="671">
    <w:name w:val="07、“1.1”正文五级标题"/>
    <w:basedOn w:val="1"/>
    <w:link w:val="679"/>
    <w:uiPriority w:val="0"/>
    <w:pPr>
      <w:tabs>
        <w:tab w:val="left" w:pos="0"/>
        <w:tab w:val="left" w:pos="360"/>
      </w:tabs>
      <w:adjustRightInd w:val="0"/>
      <w:snapToGrid w:val="0"/>
      <w:spacing w:line="440" w:lineRule="exact"/>
      <w:ind w:firstLine="803" w:firstLineChars="200"/>
      <w:jc w:val="left"/>
    </w:pPr>
    <w:rPr>
      <w:rFonts w:ascii="宋体" w:hAnsi="宋体"/>
      <w:sz w:val="24"/>
    </w:rPr>
  </w:style>
  <w:style w:type="paragraph" w:customStyle="1" w:styleId="672">
    <w:name w:val="08、“(1)”正文六级标题"/>
    <w:basedOn w:val="1"/>
    <w:uiPriority w:val="0"/>
    <w:pPr>
      <w:tabs>
        <w:tab w:val="left" w:pos="0"/>
      </w:tabs>
      <w:adjustRightInd w:val="0"/>
      <w:snapToGrid w:val="0"/>
      <w:spacing w:line="440" w:lineRule="exact"/>
      <w:ind w:firstLine="803" w:firstLineChars="200"/>
      <w:jc w:val="left"/>
    </w:pPr>
    <w:rPr>
      <w:rFonts w:ascii="宋体" w:hAnsi="宋体"/>
      <w:snapToGrid w:val="0"/>
      <w:sz w:val="24"/>
    </w:rPr>
  </w:style>
  <w:style w:type="paragraph" w:customStyle="1" w:styleId="673">
    <w:name w:val="03、“注：”正文(加粗，首行缩进2字符)"/>
    <w:basedOn w:val="663"/>
    <w:link w:val="675"/>
    <w:uiPriority w:val="0"/>
    <w:pPr>
      <w:ind w:firstLine="480" w:firstLineChars="200"/>
    </w:pPr>
    <w:rPr>
      <w:b/>
    </w:rPr>
  </w:style>
  <w:style w:type="character" w:customStyle="1" w:styleId="674">
    <w:name w:val="16、“(一)”三级标题 Char"/>
    <w:link w:val="664"/>
    <w:qFormat/>
    <w:uiPriority w:val="0"/>
    <w:rPr>
      <w:rFonts w:ascii="宋体" w:hAnsi="宋体"/>
      <w:b/>
      <w:snapToGrid w:val="0"/>
      <w:kern w:val="2"/>
      <w:sz w:val="24"/>
      <w:szCs w:val="24"/>
    </w:rPr>
  </w:style>
  <w:style w:type="character" w:customStyle="1" w:styleId="675">
    <w:name w:val="03、“注：”正文(加粗，首行缩进2字符) Char"/>
    <w:link w:val="673"/>
    <w:qFormat/>
    <w:uiPriority w:val="0"/>
    <w:rPr>
      <w:rFonts w:ascii="宋体" w:hAnsi="宋体"/>
      <w:b/>
      <w:snapToGrid w:val="0"/>
      <w:kern w:val="2"/>
      <w:sz w:val="24"/>
      <w:szCs w:val="24"/>
    </w:rPr>
  </w:style>
  <w:style w:type="paragraph" w:customStyle="1" w:styleId="676">
    <w:name w:val="02、首行缩进2字符正文"/>
    <w:basedOn w:val="1"/>
    <w:link w:val="680"/>
    <w:uiPriority w:val="0"/>
    <w:pPr>
      <w:tabs>
        <w:tab w:val="left" w:pos="0"/>
      </w:tabs>
      <w:wordWrap w:val="0"/>
      <w:topLinePunct/>
      <w:adjustRightInd w:val="0"/>
      <w:snapToGrid w:val="0"/>
      <w:spacing w:line="440" w:lineRule="exact"/>
      <w:ind w:firstLine="480" w:firstLineChars="200"/>
      <w:jc w:val="left"/>
    </w:pPr>
    <w:rPr>
      <w:rFonts w:ascii="宋体" w:hAnsi="宋体"/>
      <w:sz w:val="24"/>
    </w:rPr>
  </w:style>
  <w:style w:type="paragraph" w:customStyle="1" w:styleId="677">
    <w:name w:val="12、表格内左对齐正文"/>
    <w:basedOn w:val="1"/>
    <w:link w:val="683"/>
    <w:qFormat/>
    <w:uiPriority w:val="0"/>
    <w:pPr>
      <w:tabs>
        <w:tab w:val="left" w:pos="0"/>
      </w:tabs>
      <w:wordWrap w:val="0"/>
      <w:topLinePunct/>
      <w:adjustRightInd w:val="0"/>
      <w:snapToGrid w:val="0"/>
      <w:spacing w:line="360" w:lineRule="exact"/>
      <w:ind w:left="48" w:leftChars="20"/>
      <w:jc w:val="left"/>
    </w:pPr>
    <w:rPr>
      <w:rFonts w:ascii="宋体" w:hAnsi="宋体"/>
      <w:snapToGrid w:val="0"/>
    </w:rPr>
  </w:style>
  <w:style w:type="paragraph" w:customStyle="1" w:styleId="678">
    <w:name w:val="13、表格内居中正文"/>
    <w:basedOn w:val="1"/>
    <w:qFormat/>
    <w:uiPriority w:val="0"/>
    <w:pPr>
      <w:tabs>
        <w:tab w:val="left" w:pos="0"/>
      </w:tabs>
      <w:wordWrap w:val="0"/>
      <w:topLinePunct/>
      <w:adjustRightInd w:val="0"/>
      <w:snapToGrid w:val="0"/>
      <w:spacing w:line="360" w:lineRule="exact"/>
      <w:jc w:val="center"/>
    </w:pPr>
    <w:rPr>
      <w:rFonts w:ascii="宋体" w:hAnsi="宋体"/>
    </w:rPr>
  </w:style>
  <w:style w:type="character" w:customStyle="1" w:styleId="679">
    <w:name w:val="07、“1.1”正文五级标题 Char"/>
    <w:link w:val="671"/>
    <w:qFormat/>
    <w:uiPriority w:val="0"/>
    <w:rPr>
      <w:rFonts w:ascii="宋体" w:hAnsi="宋体"/>
      <w:kern w:val="2"/>
      <w:sz w:val="24"/>
      <w:szCs w:val="24"/>
    </w:rPr>
  </w:style>
  <w:style w:type="character" w:customStyle="1" w:styleId="680">
    <w:name w:val="02、首行缩进2字符正文 Char"/>
    <w:link w:val="676"/>
    <w:qFormat/>
    <w:uiPriority w:val="0"/>
    <w:rPr>
      <w:rFonts w:ascii="宋体" w:hAnsi="宋体"/>
      <w:kern w:val="2"/>
      <w:sz w:val="24"/>
      <w:szCs w:val="24"/>
    </w:rPr>
  </w:style>
  <w:style w:type="character" w:customStyle="1" w:styleId="681">
    <w:name w:val="05、“(一)”正文三级标题 Char"/>
    <w:link w:val="669"/>
    <w:qFormat/>
    <w:uiPriority w:val="0"/>
    <w:rPr>
      <w:rFonts w:ascii="宋体" w:hAnsi="宋体"/>
      <w:kern w:val="2"/>
      <w:sz w:val="24"/>
      <w:szCs w:val="24"/>
    </w:rPr>
  </w:style>
  <w:style w:type="character" w:customStyle="1" w:styleId="682">
    <w:name w:val="06、“1.”正文四级标题 Char"/>
    <w:link w:val="670"/>
    <w:qFormat/>
    <w:uiPriority w:val="0"/>
    <w:rPr>
      <w:rFonts w:ascii="宋体" w:hAnsi="宋体"/>
      <w:snapToGrid w:val="0"/>
      <w:kern w:val="2"/>
      <w:sz w:val="24"/>
      <w:szCs w:val="24"/>
    </w:rPr>
  </w:style>
  <w:style w:type="character" w:customStyle="1" w:styleId="683">
    <w:name w:val="12、表格内左对齐正文 Char"/>
    <w:link w:val="677"/>
    <w:qFormat/>
    <w:uiPriority w:val="0"/>
    <w:rPr>
      <w:rFonts w:ascii="宋体" w:hAnsi="宋体"/>
      <w:snapToGrid w:val="0"/>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269550-EC9D-4EEB-9223-D1707FF5FCD6}">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19960</Words>
  <Characters>20568</Characters>
  <Lines>186</Lines>
  <Paragraphs>52</Paragraphs>
  <TotalTime>0</TotalTime>
  <ScaleCrop>false</ScaleCrop>
  <LinksUpToDate>false</LinksUpToDate>
  <CharactersWithSpaces>22028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2022-08-24T13:33:00Z</dcterms:created>
  <dc:creator>Administrator</dc:creator>
  <cp:lastModifiedBy>郑天秀</cp:lastModifiedBy>
  <cp:lastPrinted>2021-01-20T06:37:00Z</cp:lastPrinted>
  <dcterms:modified xsi:type="dcterms:W3CDTF">2022-08-26T09:08:45Z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225C1FF0E6414EA99DDAF6A19C5BE9AA</vt:lpwstr>
  </property>
</Properties>
</file>